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C2CF" w14:textId="5AD6CFFE" w:rsidR="004563B6" w:rsidRDefault="00BD5AAE" w:rsidP="004563B6">
      <w:pPr>
        <w:spacing w:line="480" w:lineRule="auto"/>
        <w:jc w:val="right"/>
        <w:rPr>
          <w:b/>
          <w:bCs/>
          <w:sz w:val="28"/>
          <w:szCs w:val="28"/>
        </w:rPr>
      </w:pPr>
      <w:bookmarkStart w:id="0" w:name="_Hlk20805992"/>
      <w:r>
        <w:rPr>
          <w:b/>
          <w:bCs/>
          <w:sz w:val="28"/>
          <w:szCs w:val="28"/>
        </w:rPr>
        <w:t xml:space="preserve"> </w:t>
      </w:r>
      <w:r w:rsidR="00063642">
        <w:rPr>
          <w:b/>
          <w:bCs/>
          <w:sz w:val="28"/>
          <w:szCs w:val="28"/>
        </w:rPr>
        <w:t xml:space="preserve">  </w:t>
      </w:r>
      <w:r w:rsidR="004563B6">
        <w:rPr>
          <w:b/>
          <w:bCs/>
          <w:sz w:val="28"/>
          <w:szCs w:val="28"/>
        </w:rPr>
        <w:t>TOX/2025/</w:t>
      </w:r>
      <w:r w:rsidR="007F4C08">
        <w:rPr>
          <w:b/>
          <w:bCs/>
          <w:sz w:val="28"/>
          <w:szCs w:val="28"/>
        </w:rPr>
        <w:t>47</w:t>
      </w:r>
    </w:p>
    <w:p w14:paraId="00E71A7C" w14:textId="39F6FCB7" w:rsidR="00797CA1" w:rsidRDefault="00797CA1" w:rsidP="00797CA1">
      <w:pPr>
        <w:spacing w:line="480" w:lineRule="auto"/>
        <w:rPr>
          <w:b/>
          <w:bCs/>
          <w:sz w:val="28"/>
          <w:szCs w:val="28"/>
        </w:rPr>
      </w:pPr>
      <w:r w:rsidRPr="006F1727">
        <w:rPr>
          <w:b/>
          <w:bCs/>
          <w:sz w:val="28"/>
          <w:szCs w:val="28"/>
        </w:rPr>
        <w:t xml:space="preserve">Committee on Toxicity of Chemicals in Food, Consumer Products and the Environment (COT) </w:t>
      </w:r>
    </w:p>
    <w:p w14:paraId="77F4C5C1" w14:textId="770D77EB" w:rsidR="001C02EC" w:rsidRPr="00D4025A" w:rsidRDefault="00797CA1" w:rsidP="00797CA1">
      <w:pPr>
        <w:spacing w:line="480" w:lineRule="auto"/>
        <w:rPr>
          <w:b/>
          <w:bCs/>
          <w:sz w:val="28"/>
          <w:szCs w:val="28"/>
          <w:lang w:eastAsia="de-DE"/>
        </w:rPr>
      </w:pPr>
      <w:r>
        <w:rPr>
          <w:b/>
          <w:bCs/>
          <w:sz w:val="28"/>
          <w:szCs w:val="28"/>
          <w:lang w:eastAsia="de-DE"/>
        </w:rPr>
        <w:t>Draft supplementary statement to the COT’s p</w:t>
      </w:r>
      <w:r w:rsidRPr="006F1727">
        <w:rPr>
          <w:b/>
          <w:bCs/>
          <w:sz w:val="28"/>
          <w:szCs w:val="28"/>
          <w:lang w:eastAsia="de-DE"/>
        </w:rPr>
        <w:t xml:space="preserve">osition </w:t>
      </w:r>
      <w:r>
        <w:rPr>
          <w:b/>
          <w:bCs/>
          <w:sz w:val="28"/>
          <w:szCs w:val="28"/>
          <w:lang w:eastAsia="de-DE"/>
        </w:rPr>
        <w:t>paper</w:t>
      </w:r>
      <w:r w:rsidRPr="006F1727">
        <w:rPr>
          <w:b/>
          <w:bCs/>
          <w:sz w:val="28"/>
          <w:szCs w:val="28"/>
          <w:lang w:eastAsia="de-DE"/>
        </w:rPr>
        <w:t xml:space="preserve"> on bisphenol A </w:t>
      </w:r>
      <w:r>
        <w:rPr>
          <w:b/>
          <w:bCs/>
          <w:sz w:val="28"/>
          <w:szCs w:val="28"/>
          <w:lang w:eastAsia="de-DE"/>
        </w:rPr>
        <w:t xml:space="preserve">(BPA) </w:t>
      </w:r>
    </w:p>
    <w:p w14:paraId="1C81D741" w14:textId="77777777" w:rsidR="00DE6453" w:rsidRDefault="00DE6453" w:rsidP="005D647A">
      <w:pPr>
        <w:pStyle w:val="ListParagraph"/>
        <w:autoSpaceDE w:val="0"/>
        <w:autoSpaceDN w:val="0"/>
        <w:adjustRightInd w:val="0"/>
        <w:spacing w:line="480" w:lineRule="auto"/>
        <w:ind w:left="0"/>
        <w:contextualSpacing w:val="0"/>
        <w:rPr>
          <w:b/>
          <w:bCs/>
        </w:rPr>
      </w:pPr>
    </w:p>
    <w:p w14:paraId="5C5FB37E" w14:textId="141FA176" w:rsidR="005D647A" w:rsidRDefault="005D647A" w:rsidP="00DE6453">
      <w:pPr>
        <w:pStyle w:val="Heading1"/>
      </w:pPr>
      <w:r w:rsidRPr="001C32A8">
        <w:t>Background</w:t>
      </w:r>
    </w:p>
    <w:p w14:paraId="3866E601" w14:textId="77777777" w:rsidR="00DE6453" w:rsidRPr="00DE6453" w:rsidRDefault="00DE6453" w:rsidP="00DE6453"/>
    <w:p w14:paraId="3C919B3C" w14:textId="77777777" w:rsidR="001C32A8" w:rsidRDefault="005D647A" w:rsidP="00D348D1">
      <w:pPr>
        <w:pStyle w:val="ListParagraph"/>
        <w:numPr>
          <w:ilvl w:val="0"/>
          <w:numId w:val="52"/>
        </w:numPr>
        <w:autoSpaceDE w:val="0"/>
        <w:autoSpaceDN w:val="0"/>
        <w:adjustRightInd w:val="0"/>
        <w:spacing w:line="480" w:lineRule="auto"/>
        <w:ind w:left="0" w:hanging="11"/>
        <w:contextualSpacing w:val="0"/>
      </w:pPr>
      <w:r w:rsidRPr="001C32A8">
        <w:rPr>
          <w:b/>
          <w:bCs/>
        </w:rPr>
        <w:t>In</w:t>
      </w:r>
      <w:r w:rsidR="007B3513" w:rsidRPr="001C32A8">
        <w:rPr>
          <w:b/>
          <w:bCs/>
        </w:rPr>
        <w:t xml:space="preserve"> </w:t>
      </w:r>
      <w:r w:rsidR="00843985" w:rsidRPr="001C32A8">
        <w:rPr>
          <w:b/>
          <w:bCs/>
        </w:rPr>
        <w:t>2016</w:t>
      </w:r>
      <w:r w:rsidR="00843985" w:rsidRPr="00E7770D">
        <w:t>, EFSA</w:t>
      </w:r>
      <w:r w:rsidR="00843985">
        <w:t xml:space="preserve"> received a mandate from the European Commission to </w:t>
      </w:r>
      <w:r w:rsidR="00843985" w:rsidRPr="001C32A8">
        <w:rPr>
          <w:rFonts w:cs="Arial"/>
        </w:rPr>
        <w:t>re-evaluate the risk to public health related to the presence of BPA in foodstuffs</w:t>
      </w:r>
      <w:r w:rsidR="00320765">
        <w:t xml:space="preserve">; EFSA </w:t>
      </w:r>
      <w:r w:rsidR="00D978EA">
        <w:t xml:space="preserve">published </w:t>
      </w:r>
      <w:r w:rsidR="00893C5F">
        <w:t xml:space="preserve">a </w:t>
      </w:r>
      <w:r w:rsidR="007C50DB">
        <w:t xml:space="preserve">draft opinion in </w:t>
      </w:r>
      <w:r w:rsidR="00320765" w:rsidRPr="001C32A8">
        <w:rPr>
          <w:b/>
          <w:bCs/>
        </w:rPr>
        <w:t xml:space="preserve">December </w:t>
      </w:r>
      <w:r w:rsidR="007C50DB" w:rsidRPr="001C32A8">
        <w:rPr>
          <w:b/>
          <w:bCs/>
        </w:rPr>
        <w:t>2021</w:t>
      </w:r>
      <w:r w:rsidR="00320765">
        <w:t xml:space="preserve"> for public consultation</w:t>
      </w:r>
      <w:r w:rsidR="00ED559D">
        <w:t xml:space="preserve"> and</w:t>
      </w:r>
      <w:r w:rsidR="00CA4BBD" w:rsidRPr="00CA4BBD">
        <w:t xml:space="preserve"> proposed a significant reduction to the temporary </w:t>
      </w:r>
      <w:r w:rsidR="00CA4BBD">
        <w:t>t</w:t>
      </w:r>
      <w:r w:rsidR="00CA4BBD" w:rsidRPr="00CA4BBD">
        <w:t xml:space="preserve">olerable </w:t>
      </w:r>
      <w:r w:rsidR="00CA4BBD">
        <w:t>d</w:t>
      </w:r>
      <w:r w:rsidR="00CA4BBD" w:rsidRPr="00CA4BBD">
        <w:t xml:space="preserve">aily </w:t>
      </w:r>
      <w:r w:rsidR="00CA4BBD">
        <w:t>i</w:t>
      </w:r>
      <w:r w:rsidR="00CA4BBD" w:rsidRPr="00CA4BBD">
        <w:t xml:space="preserve">ntake (TDI) of 4 µg/kg body weight (bw) to 0.04 ng/kg bw. This reduction would mean that both mean and </w:t>
      </w:r>
      <w:r w:rsidRPr="00CA4BBD">
        <w:t>high-level</w:t>
      </w:r>
      <w:r w:rsidR="00CA4BBD" w:rsidRPr="00CA4BBD">
        <w:t xml:space="preserve"> consumers for all age groups would exceed the new TDI by 2-4 orders of magnitude.</w:t>
      </w:r>
    </w:p>
    <w:p w14:paraId="37488E02" w14:textId="77777777" w:rsidR="001C32A8" w:rsidRDefault="00E837EE" w:rsidP="002343F6">
      <w:pPr>
        <w:pStyle w:val="ListParagraph"/>
        <w:numPr>
          <w:ilvl w:val="0"/>
          <w:numId w:val="52"/>
        </w:numPr>
        <w:autoSpaceDE w:val="0"/>
        <w:autoSpaceDN w:val="0"/>
        <w:adjustRightInd w:val="0"/>
        <w:spacing w:line="480" w:lineRule="auto"/>
        <w:ind w:left="0" w:hanging="11"/>
        <w:contextualSpacing w:val="0"/>
      </w:pPr>
      <w:r>
        <w:t xml:space="preserve">The COT discussed the draft EFSA opinion </w:t>
      </w:r>
      <w:r w:rsidR="004D3480">
        <w:t>at</w:t>
      </w:r>
      <w:r>
        <w:t xml:space="preserve"> an extraordinary meeting </w:t>
      </w:r>
      <w:r w:rsidR="003B64A2">
        <w:t>in</w:t>
      </w:r>
      <w:r>
        <w:t xml:space="preserve"> </w:t>
      </w:r>
      <w:r w:rsidRPr="001C32A8">
        <w:rPr>
          <w:b/>
          <w:bCs/>
        </w:rPr>
        <w:t>February 2022</w:t>
      </w:r>
      <w:r w:rsidR="00101D9E">
        <w:t xml:space="preserve"> (the full discussion can be found </w:t>
      </w:r>
      <w:hyperlink r:id="rId11" w:history="1">
        <w:r w:rsidR="00101D9E" w:rsidRPr="0048237B">
          <w:rPr>
            <w:rStyle w:val="Hyperlink"/>
          </w:rPr>
          <w:t>here</w:t>
        </w:r>
      </w:hyperlink>
      <w:r w:rsidR="0048237B">
        <w:t>)</w:t>
      </w:r>
      <w:r>
        <w:t>.</w:t>
      </w:r>
      <w:r w:rsidR="003B64A2">
        <w:t xml:space="preserve"> The Committee agreed that EFSA had approached the subject in a methodical and structured way. However, </w:t>
      </w:r>
      <w:r w:rsidR="00715496">
        <w:t>t</w:t>
      </w:r>
      <w:r w:rsidR="003B64A2">
        <w:t>he Committee noted that there was no in-depth consideration of studies used in the previous (2015 EFSA) opinion. There was a large body of data missing and so the new opinion did not transparently encompass the totality of the available evidence.</w:t>
      </w:r>
      <w:r w:rsidR="00877D07">
        <w:t xml:space="preserve"> </w:t>
      </w:r>
      <w:r w:rsidR="004D3480">
        <w:t xml:space="preserve">The Committee </w:t>
      </w:r>
      <w:r w:rsidR="007F3477">
        <w:t>had reservations about the</w:t>
      </w:r>
      <w:r w:rsidR="003B64A2">
        <w:t xml:space="preserve"> </w:t>
      </w:r>
      <w:r w:rsidR="00003CB8">
        <w:t>key endpoint selected by EFSA, i.e. an</w:t>
      </w:r>
      <w:r w:rsidR="003B64A2">
        <w:t xml:space="preserve"> increase in Th17 cells</w:t>
      </w:r>
      <w:r w:rsidR="00003CB8">
        <w:t>,</w:t>
      </w:r>
      <w:r w:rsidR="003B64A2">
        <w:t xml:space="preserve"> </w:t>
      </w:r>
      <w:r w:rsidR="004130AA">
        <w:t>as this was an intermediate rather than an apical endpoint</w:t>
      </w:r>
      <w:r w:rsidR="003B64A2">
        <w:t xml:space="preserve">. </w:t>
      </w:r>
      <w:r w:rsidR="005B2196">
        <w:lastRenderedPageBreak/>
        <w:t>The proposed TDI of 0.04 ng/</w:t>
      </w:r>
      <w:r w:rsidR="0066323D">
        <w:t>kg bw per day derived from this</w:t>
      </w:r>
      <w:r w:rsidR="00E91E24">
        <w:t xml:space="preserve"> endpoint would suggest that </w:t>
      </w:r>
      <w:r w:rsidR="006F36E4">
        <w:t xml:space="preserve">the </w:t>
      </w:r>
      <w:r w:rsidR="00E91E24">
        <w:t>whole population would be at risk, as all food consumption would lead to BPA exposures orders of magnitude above the recommended level and hence would be at risk of adverse effects. However, this did not seem to be supported by the available human data</w:t>
      </w:r>
      <w:r w:rsidR="006F36E4">
        <w:t>,</w:t>
      </w:r>
      <w:r w:rsidR="00FC79F0">
        <w:t xml:space="preserve"> and the use of</w:t>
      </w:r>
      <w:r w:rsidR="002C2F76">
        <w:t xml:space="preserve"> the</w:t>
      </w:r>
      <w:r w:rsidR="00FC79F0">
        <w:t xml:space="preserve"> intermediate endpoint was </w:t>
      </w:r>
      <w:r w:rsidR="000F2BD2">
        <w:t>conservative</w:t>
      </w:r>
      <w:r w:rsidR="00E91E24">
        <w:t>.</w:t>
      </w:r>
      <w:r w:rsidR="00B252C2">
        <w:t xml:space="preserve"> </w:t>
      </w:r>
      <w:r w:rsidR="000F2BD2">
        <w:t xml:space="preserve">Based on the evidence the Committee were not convinced that EFSA had reached an appropriate conclusion on an appropriate reference point. </w:t>
      </w:r>
      <w:r w:rsidR="00B252C2">
        <w:t>The Secretariat submitted the COTs comments and concerns</w:t>
      </w:r>
      <w:r w:rsidR="009912B4">
        <w:t xml:space="preserve"> within the deadline for public consultation. </w:t>
      </w:r>
    </w:p>
    <w:p w14:paraId="59A14353" w14:textId="77777777" w:rsidR="001C32A8" w:rsidRDefault="00DE4FB1" w:rsidP="00B81BDD">
      <w:pPr>
        <w:pStyle w:val="ListParagraph"/>
        <w:numPr>
          <w:ilvl w:val="0"/>
          <w:numId w:val="52"/>
        </w:numPr>
        <w:autoSpaceDE w:val="0"/>
        <w:autoSpaceDN w:val="0"/>
        <w:adjustRightInd w:val="0"/>
        <w:spacing w:line="480" w:lineRule="auto"/>
        <w:ind w:left="0" w:hanging="11"/>
        <w:contextualSpacing w:val="0"/>
      </w:pPr>
      <w:r>
        <w:t>Following public consultation</w:t>
      </w:r>
      <w:r w:rsidR="00FA4522">
        <w:t>,</w:t>
      </w:r>
      <w:r>
        <w:t xml:space="preserve"> EFSA published the final opinion on the re-evaluation of BPA in </w:t>
      </w:r>
      <w:r w:rsidRPr="001C32A8">
        <w:rPr>
          <w:b/>
          <w:bCs/>
        </w:rPr>
        <w:t>April 2023</w:t>
      </w:r>
      <w:r w:rsidR="00694E27">
        <w:t xml:space="preserve"> </w:t>
      </w:r>
      <w:r w:rsidR="00E9608A">
        <w:t>(</w:t>
      </w:r>
      <w:hyperlink r:id="rId12" w:history="1">
        <w:r w:rsidR="00E9608A" w:rsidRPr="009529E5">
          <w:rPr>
            <w:rStyle w:val="Hyperlink"/>
          </w:rPr>
          <w:t>here</w:t>
        </w:r>
      </w:hyperlink>
      <w:r w:rsidR="00E9608A">
        <w:t xml:space="preserve">) </w:t>
      </w:r>
      <w:r w:rsidR="00694E27">
        <w:t>and</w:t>
      </w:r>
      <w:r>
        <w:t xml:space="preserve"> established a TDI of 0.2 ng BPA/kg bw per day. Although this new TDI is higher than the initially proposed level of 0.04 ng.kg bw, it still means that both mean and </w:t>
      </w:r>
      <w:r w:rsidR="00C8000E">
        <w:t>high-level</w:t>
      </w:r>
      <w:r>
        <w:t xml:space="preserve"> consumers for all age groups would exceed the new TDI by 2-3 orders of magnitude.</w:t>
      </w:r>
      <w:r w:rsidR="00C8000E">
        <w:t xml:space="preserve"> </w:t>
      </w:r>
      <w:r>
        <w:t xml:space="preserve">Both, the European Medical Agency (EMA) and the </w:t>
      </w:r>
      <w:r w:rsidR="00DF02A5">
        <w:t>German Federal Institute for Risk Assessment</w:t>
      </w:r>
      <w:r>
        <w:t xml:space="preserve"> (BfR) provided comments to EFSA, </w:t>
      </w:r>
      <w:r w:rsidR="0002352C">
        <w:t>setting out</w:t>
      </w:r>
      <w:r>
        <w:t xml:space="preserve"> diverging views. As the</w:t>
      </w:r>
      <w:r w:rsidR="002C50D8">
        <w:t>se</w:t>
      </w:r>
      <w:r>
        <w:t xml:space="preserve"> diverging views could not be resolved, according to the respective founding regulations, EFSA and the EMA/BfR </w:t>
      </w:r>
      <w:r w:rsidR="00383B40">
        <w:t>we</w:t>
      </w:r>
      <w:r>
        <w:t xml:space="preserve">re obliged to present a joint document to the </w:t>
      </w:r>
      <w:r w:rsidR="00383B40">
        <w:t xml:space="preserve">EC </w:t>
      </w:r>
      <w:r>
        <w:t>clarifying the contentious scientific issue and identifying relevant uncertainties in the data. These documents are required to be publicly available</w:t>
      </w:r>
      <w:r w:rsidR="00383B40">
        <w:t xml:space="preserve"> (and can be found </w:t>
      </w:r>
      <w:hyperlink r:id="rId13" w:history="1">
        <w:r w:rsidR="00383B40" w:rsidRPr="00E768AD">
          <w:rPr>
            <w:rStyle w:val="Hyperlink"/>
          </w:rPr>
          <w:t>here</w:t>
        </w:r>
      </w:hyperlink>
      <w:r w:rsidR="00383B40">
        <w:t xml:space="preserve"> and </w:t>
      </w:r>
      <w:hyperlink r:id="rId14" w:history="1">
        <w:r w:rsidR="00383B40" w:rsidRPr="00E768AD">
          <w:rPr>
            <w:rStyle w:val="Hyperlink"/>
          </w:rPr>
          <w:t>here</w:t>
        </w:r>
      </w:hyperlink>
      <w:r w:rsidR="00383B40">
        <w:t>)</w:t>
      </w:r>
      <w:r>
        <w:t>.</w:t>
      </w:r>
    </w:p>
    <w:p w14:paraId="37DA7AE9" w14:textId="77777777" w:rsidR="001C32A8" w:rsidRDefault="00E768AD" w:rsidP="00DC4158">
      <w:pPr>
        <w:pStyle w:val="ListParagraph"/>
        <w:numPr>
          <w:ilvl w:val="0"/>
          <w:numId w:val="52"/>
        </w:numPr>
        <w:autoSpaceDE w:val="0"/>
        <w:autoSpaceDN w:val="0"/>
        <w:adjustRightInd w:val="0"/>
        <w:spacing w:line="480" w:lineRule="auto"/>
        <w:ind w:left="0" w:hanging="11"/>
        <w:contextualSpacing w:val="0"/>
      </w:pPr>
      <w:r>
        <w:t xml:space="preserve">The </w:t>
      </w:r>
      <w:r w:rsidR="00057D6B">
        <w:t xml:space="preserve">BfR publishes their risk assessment on BPA in </w:t>
      </w:r>
      <w:r w:rsidR="00057D6B" w:rsidRPr="001C32A8">
        <w:rPr>
          <w:b/>
          <w:bCs/>
        </w:rPr>
        <w:t>April 2023</w:t>
      </w:r>
      <w:r w:rsidR="00E9608A" w:rsidRPr="00E9608A">
        <w:t xml:space="preserve"> (</w:t>
      </w:r>
      <w:hyperlink r:id="rId15" w:history="1">
        <w:r w:rsidR="00E9608A" w:rsidRPr="00F072B7">
          <w:rPr>
            <w:rStyle w:val="Hyperlink"/>
          </w:rPr>
          <w:t>here</w:t>
        </w:r>
      </w:hyperlink>
      <w:r w:rsidR="00E9608A" w:rsidRPr="00E9608A">
        <w:t>)</w:t>
      </w:r>
      <w:r w:rsidR="00057D6B" w:rsidRPr="00E9608A">
        <w:t>.</w:t>
      </w:r>
    </w:p>
    <w:p w14:paraId="2A02ECF0" w14:textId="38C4E2C9" w:rsidR="001C32A8" w:rsidRDefault="00383B40" w:rsidP="0049316B">
      <w:pPr>
        <w:pStyle w:val="ListParagraph"/>
        <w:numPr>
          <w:ilvl w:val="0"/>
          <w:numId w:val="52"/>
        </w:numPr>
        <w:autoSpaceDE w:val="0"/>
        <w:autoSpaceDN w:val="0"/>
        <w:adjustRightInd w:val="0"/>
        <w:spacing w:line="480" w:lineRule="auto"/>
        <w:ind w:left="0" w:hanging="11"/>
        <w:contextualSpacing w:val="0"/>
      </w:pPr>
      <w:r>
        <w:t>The COT</w:t>
      </w:r>
      <w:r w:rsidR="00827DCF">
        <w:t xml:space="preserve"> discussed the final EFSA opinion on BPA in </w:t>
      </w:r>
      <w:r w:rsidR="00827DCF" w:rsidRPr="001C32A8">
        <w:rPr>
          <w:b/>
          <w:bCs/>
        </w:rPr>
        <w:t>May 2023</w:t>
      </w:r>
      <w:r w:rsidR="00827DCF">
        <w:t xml:space="preserve"> (the full discussion can be found </w:t>
      </w:r>
      <w:hyperlink r:id="rId16" w:history="1">
        <w:r w:rsidR="00827DCF" w:rsidRPr="000A26BA">
          <w:rPr>
            <w:rStyle w:val="Hyperlink"/>
          </w:rPr>
          <w:t>here</w:t>
        </w:r>
      </w:hyperlink>
      <w:r w:rsidR="00827DCF">
        <w:t>)</w:t>
      </w:r>
      <w:r w:rsidR="000A26BA">
        <w:t>.</w:t>
      </w:r>
      <w:r w:rsidR="00613801">
        <w:t xml:space="preserve"> </w:t>
      </w:r>
      <w:r w:rsidR="00697889">
        <w:t>The COT noted that w</w:t>
      </w:r>
      <w:r w:rsidR="00E701F0">
        <w:t>hile</w:t>
      </w:r>
      <w:r w:rsidR="00511DCF" w:rsidRPr="00511DCF">
        <w:t xml:space="preserve"> the EMA’s approach to risk assessment differ</w:t>
      </w:r>
      <w:r w:rsidR="002C50D8">
        <w:t>ed</w:t>
      </w:r>
      <w:r w:rsidR="00511DCF" w:rsidRPr="00511DCF">
        <w:t xml:space="preserve"> from that of the COT and BfR in that it also consider</w:t>
      </w:r>
      <w:r w:rsidR="002C50D8">
        <w:t>ed</w:t>
      </w:r>
      <w:r w:rsidR="00511DCF" w:rsidRPr="00511DCF">
        <w:t xml:space="preserve"> benefit </w:t>
      </w:r>
      <w:r w:rsidR="00511DCF" w:rsidRPr="00511DCF">
        <w:lastRenderedPageBreak/>
        <w:t xml:space="preserve">when reviewing human medicines, both the EMA and BfR raised </w:t>
      </w:r>
      <w:r w:rsidR="00E5773B">
        <w:t xml:space="preserve">similar </w:t>
      </w:r>
      <w:r w:rsidR="00511DCF" w:rsidRPr="00511DCF">
        <w:t xml:space="preserve">scientific concerns </w:t>
      </w:r>
      <w:r w:rsidR="00E5773B">
        <w:t xml:space="preserve">as the COT, mainly </w:t>
      </w:r>
      <w:r w:rsidR="00511DCF" w:rsidRPr="00511DCF">
        <w:t xml:space="preserve">with respect to the endpoint used by EFSA. </w:t>
      </w:r>
      <w:r w:rsidR="00E710BD">
        <w:t>T</w:t>
      </w:r>
      <w:r w:rsidR="00511DCF" w:rsidRPr="00511DCF">
        <w:t>he</w:t>
      </w:r>
      <w:r w:rsidR="006D3AE7">
        <w:t xml:space="preserve"> COT</w:t>
      </w:r>
      <w:r w:rsidR="00511DCF" w:rsidRPr="00511DCF">
        <w:t xml:space="preserve"> </w:t>
      </w:r>
      <w:r w:rsidR="00E710BD">
        <w:t xml:space="preserve">further </w:t>
      </w:r>
      <w:r w:rsidR="00511DCF" w:rsidRPr="00511DCF">
        <w:t xml:space="preserve">agreed with the BfR’s criticism that EFSA’s </w:t>
      </w:r>
      <w:r w:rsidR="008515AE">
        <w:t xml:space="preserve">predefined </w:t>
      </w:r>
      <w:r w:rsidR="00511DCF" w:rsidRPr="00511DCF">
        <w:t>protocol restricted the data set assessed in the EFSA opinion</w:t>
      </w:r>
      <w:r w:rsidR="008515AE">
        <w:t xml:space="preserve"> and that</w:t>
      </w:r>
      <w:r w:rsidR="00511DCF" w:rsidRPr="00511DCF">
        <w:t xml:space="preserve"> there was a wider data set available for BPA, which should have been considered in the evaluation.</w:t>
      </w:r>
      <w:r w:rsidR="00420AB6">
        <w:t xml:space="preserve"> </w:t>
      </w:r>
      <w:r w:rsidR="009C3C3E">
        <w:t xml:space="preserve">The COT also </w:t>
      </w:r>
      <w:r w:rsidR="00511DCF" w:rsidRPr="00511DCF">
        <w:t xml:space="preserve">questioned whether an intermediate endpoint of uncertain pathophysiological significance would be sufficiently robust. While this was a wider discussion, the Committee did not agree with EFSA that the change seen in Th17 cells was a sufficiently relevant and scientifically robust intermediate endpoint on which to base the establishment of a </w:t>
      </w:r>
      <w:r w:rsidR="00FA6413">
        <w:t>health</w:t>
      </w:r>
      <w:r w:rsidR="00DE6453">
        <w:t>-</w:t>
      </w:r>
      <w:r w:rsidR="00FA6413">
        <w:t>based guidance value (</w:t>
      </w:r>
      <w:r w:rsidR="00511DCF" w:rsidRPr="00511DCF">
        <w:t>HBGV</w:t>
      </w:r>
      <w:r w:rsidR="00FA6413">
        <w:t>)</w:t>
      </w:r>
      <w:r w:rsidR="00511DCF" w:rsidRPr="00511DCF">
        <w:t>. In addition, given the uncertainties over the endpoint, a weight of evidence approach should have been clearly applied in the EFSA opinion to fully assess the data and derive a robust point of departure.</w:t>
      </w:r>
      <w:r w:rsidR="00E110DA">
        <w:t xml:space="preserve"> </w:t>
      </w:r>
      <w:r w:rsidR="00511DCF" w:rsidRPr="00511DCF">
        <w:t xml:space="preserve">The </w:t>
      </w:r>
      <w:r w:rsidR="002B2BB4">
        <w:t>COT had</w:t>
      </w:r>
      <w:r w:rsidR="00511DCF" w:rsidRPr="00511DCF">
        <w:t xml:space="preserve"> previously agreed with EFSA’s assessment of the safety of BPA in 2006, 2008 and 2015. However, while the Committee considered it possible that the TDI would need to be revised to account for new evidence and ensure it was sufficiently protective, on balance the weight of evidence did not support the conclusions drawn by EFSA, or a TDI as low as that established by EFSA.</w:t>
      </w:r>
      <w:r w:rsidR="00DE0BCA">
        <w:t xml:space="preserve"> </w:t>
      </w:r>
      <w:r w:rsidR="00511DCF" w:rsidRPr="00511DCF">
        <w:t>It was agreed that an interim position paper, capturing the COT’s view and the proposed next steps should be published.</w:t>
      </w:r>
    </w:p>
    <w:p w14:paraId="4868D76A" w14:textId="77777777" w:rsidR="001C32A8" w:rsidRDefault="00513B8F" w:rsidP="001566D9">
      <w:pPr>
        <w:pStyle w:val="ListParagraph"/>
        <w:numPr>
          <w:ilvl w:val="0"/>
          <w:numId w:val="52"/>
        </w:numPr>
        <w:autoSpaceDE w:val="0"/>
        <w:autoSpaceDN w:val="0"/>
        <w:adjustRightInd w:val="0"/>
        <w:spacing w:line="480" w:lineRule="auto"/>
        <w:ind w:left="0" w:hanging="11"/>
        <w:contextualSpacing w:val="0"/>
      </w:pPr>
      <w:r>
        <w:t>I</w:t>
      </w:r>
      <w:r w:rsidR="00733E23" w:rsidRPr="00733E23">
        <w:t xml:space="preserve">n </w:t>
      </w:r>
      <w:r>
        <w:t>late spring/early summer</w:t>
      </w:r>
      <w:r w:rsidR="00733E23" w:rsidRPr="00733E23">
        <w:t xml:space="preserve"> 2023, the EC published a statement announcing a ban on the use of BPA in food contact materials (FCMs). </w:t>
      </w:r>
    </w:p>
    <w:p w14:paraId="1D04D021" w14:textId="77777777" w:rsidR="001C32A8" w:rsidRDefault="009D7554" w:rsidP="00752040">
      <w:pPr>
        <w:pStyle w:val="ListParagraph"/>
        <w:numPr>
          <w:ilvl w:val="0"/>
          <w:numId w:val="52"/>
        </w:numPr>
        <w:autoSpaceDE w:val="0"/>
        <w:autoSpaceDN w:val="0"/>
        <w:adjustRightInd w:val="0"/>
        <w:spacing w:line="480" w:lineRule="auto"/>
        <w:ind w:left="0" w:hanging="11"/>
        <w:contextualSpacing w:val="0"/>
      </w:pPr>
      <w:r w:rsidRPr="009D7554">
        <w:t xml:space="preserve">A </w:t>
      </w:r>
      <w:r w:rsidR="004A11A0">
        <w:t xml:space="preserve">first </w:t>
      </w:r>
      <w:r w:rsidRPr="009D7554">
        <w:t>draft interim position statement was presented to the C</w:t>
      </w:r>
      <w:r>
        <w:t>OT</w:t>
      </w:r>
      <w:r w:rsidRPr="009D7554">
        <w:t xml:space="preserve"> in </w:t>
      </w:r>
      <w:r w:rsidR="004A11A0" w:rsidRPr="001C32A8">
        <w:rPr>
          <w:b/>
          <w:bCs/>
        </w:rPr>
        <w:t>July 2023</w:t>
      </w:r>
      <w:r w:rsidR="00C71AA1">
        <w:t xml:space="preserve"> (the full discussion can be found </w:t>
      </w:r>
      <w:hyperlink r:id="rId17" w:history="1">
        <w:r w:rsidR="00C71AA1" w:rsidRPr="00C71AA1">
          <w:rPr>
            <w:rStyle w:val="Hyperlink"/>
          </w:rPr>
          <w:t>here</w:t>
        </w:r>
      </w:hyperlink>
      <w:r w:rsidR="00C71AA1">
        <w:t>).</w:t>
      </w:r>
      <w:r w:rsidR="00AC2E9F" w:rsidRPr="00AC2E9F">
        <w:t xml:space="preserve"> </w:t>
      </w:r>
      <w:r w:rsidR="00AC2E9F">
        <w:t>The Committee agreed with the proposal to take a weight of evidence approach to the relevant endpoints, drawing on the data in the EFSA opinions (2006, 2008, 2015, 2023) and any data published since the cut-</w:t>
      </w:r>
      <w:r w:rsidR="00AC2E9F">
        <w:lastRenderedPageBreak/>
        <w:t>off point of the EFSA literature review.</w:t>
      </w:r>
      <w:r w:rsidR="005122EE">
        <w:t xml:space="preserve"> </w:t>
      </w:r>
      <w:r w:rsidR="00AD7045">
        <w:t>It</w:t>
      </w:r>
      <w:r w:rsidR="00AC2E9F">
        <w:t xml:space="preserve"> was agreed that the SETE principles should be applied for data integration, where applicable, with the aim of identifying key endpoints, gaps and uncertainties and suggest a way forward in establishing a TDI for BP</w:t>
      </w:r>
      <w:r w:rsidR="00D91CBC">
        <w:t>A, ensuring</w:t>
      </w:r>
      <w:r w:rsidR="005237F0" w:rsidRPr="005237F0">
        <w:t xml:space="preserve"> that the weight of evidence and data integration was reflected transparently in their assessment.  </w:t>
      </w:r>
    </w:p>
    <w:p w14:paraId="6CF59142" w14:textId="77777777" w:rsidR="001C32A8" w:rsidRDefault="00F248CE" w:rsidP="00092C06">
      <w:pPr>
        <w:pStyle w:val="ListParagraph"/>
        <w:numPr>
          <w:ilvl w:val="0"/>
          <w:numId w:val="52"/>
        </w:numPr>
        <w:autoSpaceDE w:val="0"/>
        <w:autoSpaceDN w:val="0"/>
        <w:adjustRightInd w:val="0"/>
        <w:spacing w:line="480" w:lineRule="auto"/>
        <w:ind w:left="0" w:hanging="11"/>
        <w:contextualSpacing w:val="0"/>
      </w:pPr>
      <w:r w:rsidRPr="00F248CE">
        <w:t xml:space="preserve">A </w:t>
      </w:r>
      <w:r>
        <w:t xml:space="preserve">second </w:t>
      </w:r>
      <w:r w:rsidRPr="00F248CE">
        <w:t xml:space="preserve">draft interim position statement was presented to the COT in </w:t>
      </w:r>
      <w:r w:rsidRPr="001C32A8">
        <w:rPr>
          <w:b/>
          <w:bCs/>
        </w:rPr>
        <w:t>September 2023</w:t>
      </w:r>
      <w:r w:rsidRPr="00F248CE">
        <w:t xml:space="preserve"> (the full discussion can be found </w:t>
      </w:r>
      <w:hyperlink r:id="rId18" w:history="1">
        <w:r w:rsidRPr="001557B2">
          <w:rPr>
            <w:rStyle w:val="Hyperlink"/>
          </w:rPr>
          <w:t>here</w:t>
        </w:r>
      </w:hyperlink>
      <w:r w:rsidRPr="00F248CE">
        <w:t>).</w:t>
      </w:r>
      <w:r w:rsidR="00C479E5">
        <w:t xml:space="preserve"> </w:t>
      </w:r>
      <w:r w:rsidR="00320830">
        <w:t xml:space="preserve">Additional text </w:t>
      </w:r>
      <w:r w:rsidR="00A65186">
        <w:t>was added,</w:t>
      </w:r>
      <w:r w:rsidR="00320830">
        <w:t xml:space="preserve"> </w:t>
      </w:r>
      <w:r w:rsidR="00AC25D1">
        <w:t>includ</w:t>
      </w:r>
      <w:r w:rsidR="00A65186">
        <w:t>ing</w:t>
      </w:r>
      <w:r w:rsidR="00320830">
        <w:t xml:space="preserve"> recommendations how to take the work forward to establish a UK </w:t>
      </w:r>
      <w:r w:rsidR="004A0521">
        <w:t>TDI</w:t>
      </w:r>
      <w:r w:rsidR="00320830">
        <w:t>.</w:t>
      </w:r>
      <w:r w:rsidR="00AC25D1">
        <w:t xml:space="preserve"> </w:t>
      </w:r>
      <w:r w:rsidR="00320830">
        <w:t xml:space="preserve">The UK TDI </w:t>
      </w:r>
      <w:r w:rsidR="004A0521">
        <w:t xml:space="preserve">at the time of discussion </w:t>
      </w:r>
      <w:r w:rsidR="00AC25D1">
        <w:t>wa</w:t>
      </w:r>
      <w:r w:rsidR="00320830">
        <w:t xml:space="preserve">s substantially above the new TDI established by EFSA and was based on changes in kidney weights. The Committee agreed </w:t>
      </w:r>
      <w:r w:rsidR="003C1A2A">
        <w:t xml:space="preserve">at the meeting </w:t>
      </w:r>
      <w:r w:rsidR="00320830">
        <w:t>that it could not conclude on whether this endpoint should still be used while BPA was being evaluated as</w:t>
      </w:r>
      <w:r w:rsidR="00F714AF">
        <w:t xml:space="preserve"> </w:t>
      </w:r>
      <w:r w:rsidR="00320830">
        <w:t>effects were apparent in other endpoints, suggesting the current TDI might no longer be appropriate.</w:t>
      </w:r>
      <w:r w:rsidR="008C481E">
        <w:t xml:space="preserve"> </w:t>
      </w:r>
      <w:r w:rsidR="00320830">
        <w:t xml:space="preserve">The </w:t>
      </w:r>
      <w:r w:rsidR="006B41A2">
        <w:t xml:space="preserve">COT </w:t>
      </w:r>
      <w:r w:rsidR="00F93A02">
        <w:t>considered</w:t>
      </w:r>
      <w:r w:rsidR="006B41A2">
        <w:t xml:space="preserve"> it useful to</w:t>
      </w:r>
      <w:r w:rsidR="00320830">
        <w:t xml:space="preserve"> identify</w:t>
      </w:r>
      <w:r w:rsidR="00F93A02">
        <w:t xml:space="preserve"> and discuss</w:t>
      </w:r>
      <w:r w:rsidR="00320830">
        <w:t xml:space="preserve"> HBGVs used elsewhere</w:t>
      </w:r>
      <w:r w:rsidR="006B41A2">
        <w:t>/by other authorities</w:t>
      </w:r>
      <w:r w:rsidR="00320830">
        <w:t xml:space="preserve"> for BPA</w:t>
      </w:r>
      <w:r w:rsidR="00F67FC2">
        <w:t>.</w:t>
      </w:r>
      <w:r w:rsidR="00320830">
        <w:t xml:space="preserve"> </w:t>
      </w:r>
      <w:r w:rsidR="00F93A02">
        <w:t xml:space="preserve">The Secretariat </w:t>
      </w:r>
      <w:r w:rsidR="00F67FC2">
        <w:t xml:space="preserve">stressed </w:t>
      </w:r>
      <w:r w:rsidR="00F93A02">
        <w:t>that d</w:t>
      </w:r>
      <w:r w:rsidR="00320830">
        <w:t xml:space="preserve">ue to resource constraints, a </w:t>
      </w:r>
      <w:r w:rsidR="00F67FC2">
        <w:t xml:space="preserve">(full) </w:t>
      </w:r>
      <w:r w:rsidR="00320830">
        <w:t>review of BPA would need to be externally commissioned and would not return to the Committee before the middle of 2024</w:t>
      </w:r>
      <w:r w:rsidR="008C481E">
        <w:t>.</w:t>
      </w:r>
    </w:p>
    <w:p w14:paraId="5AB6A96F" w14:textId="77777777" w:rsidR="001C32A8" w:rsidRDefault="008C481E" w:rsidP="003E4CED">
      <w:pPr>
        <w:pStyle w:val="ListParagraph"/>
        <w:numPr>
          <w:ilvl w:val="0"/>
          <w:numId w:val="52"/>
        </w:numPr>
        <w:autoSpaceDE w:val="0"/>
        <w:autoSpaceDN w:val="0"/>
        <w:adjustRightInd w:val="0"/>
        <w:spacing w:line="480" w:lineRule="auto"/>
        <w:ind w:left="0" w:hanging="11"/>
        <w:contextualSpacing w:val="0"/>
      </w:pPr>
      <w:r w:rsidRPr="008C481E">
        <w:t xml:space="preserve">A </w:t>
      </w:r>
      <w:r>
        <w:t>third</w:t>
      </w:r>
      <w:r w:rsidRPr="008C481E">
        <w:t xml:space="preserve"> draft interim position statement was presented to the COT in </w:t>
      </w:r>
      <w:r w:rsidR="00185A54" w:rsidRPr="001C32A8">
        <w:rPr>
          <w:b/>
          <w:bCs/>
        </w:rPr>
        <w:t xml:space="preserve">October </w:t>
      </w:r>
      <w:r w:rsidRPr="001C32A8">
        <w:rPr>
          <w:b/>
          <w:bCs/>
        </w:rPr>
        <w:t>2023</w:t>
      </w:r>
      <w:r w:rsidRPr="008C481E">
        <w:t xml:space="preserve"> (the full discussion can be found </w:t>
      </w:r>
      <w:hyperlink r:id="rId19" w:history="1">
        <w:r w:rsidR="00322439" w:rsidRPr="00322439">
          <w:rPr>
            <w:rStyle w:val="Hyperlink"/>
          </w:rPr>
          <w:t>here</w:t>
        </w:r>
      </w:hyperlink>
      <w:r w:rsidRPr="008C481E">
        <w:t>)</w:t>
      </w:r>
      <w:r w:rsidR="00620CEA">
        <w:t>, as well as information on HBGVs from other authorities</w:t>
      </w:r>
      <w:r w:rsidRPr="008C481E">
        <w:t xml:space="preserve">. </w:t>
      </w:r>
      <w:r w:rsidR="000120E5" w:rsidRPr="000120E5">
        <w:t xml:space="preserve">The Committee noted that the recent assessment of BPA by the BfR established a TDI lower than the previous EFSA TDI </w:t>
      </w:r>
      <w:r w:rsidR="009425C9">
        <w:t xml:space="preserve">(2015) </w:t>
      </w:r>
      <w:r w:rsidR="000120E5" w:rsidRPr="000120E5">
        <w:t xml:space="preserve">but higher than the </w:t>
      </w:r>
      <w:r w:rsidR="009425C9">
        <w:t xml:space="preserve">new </w:t>
      </w:r>
      <w:r w:rsidR="006C15EE">
        <w:t xml:space="preserve">TDI </w:t>
      </w:r>
      <w:r w:rsidR="009425C9">
        <w:t xml:space="preserve">(2023) </w:t>
      </w:r>
      <w:r w:rsidR="006C15EE">
        <w:t>and it</w:t>
      </w:r>
      <w:r w:rsidR="000120E5" w:rsidRPr="000120E5">
        <w:t xml:space="preserve"> would therefore be </w:t>
      </w:r>
      <w:r w:rsidR="00652747" w:rsidRPr="000120E5">
        <w:t>beneficial</w:t>
      </w:r>
      <w:r w:rsidR="000120E5" w:rsidRPr="000120E5">
        <w:t xml:space="preserve"> to consider the BfR approach in more detail as it was based on the same literature/data available to EFSA, and to establish how it differed from the approach taken by EFSA. </w:t>
      </w:r>
    </w:p>
    <w:p w14:paraId="7F3CC93E" w14:textId="252B917C" w:rsidR="00FB7B96" w:rsidRDefault="008A2CBF" w:rsidP="00914A64">
      <w:pPr>
        <w:pStyle w:val="ListParagraph"/>
        <w:numPr>
          <w:ilvl w:val="0"/>
          <w:numId w:val="52"/>
        </w:numPr>
        <w:autoSpaceDE w:val="0"/>
        <w:autoSpaceDN w:val="0"/>
        <w:adjustRightInd w:val="0"/>
        <w:spacing w:line="480" w:lineRule="auto"/>
        <w:ind w:left="0" w:hanging="11"/>
        <w:contextualSpacing w:val="0"/>
      </w:pPr>
      <w:r>
        <w:lastRenderedPageBreak/>
        <w:t xml:space="preserve">In </w:t>
      </w:r>
      <w:r w:rsidRPr="00FB7B96">
        <w:rPr>
          <w:b/>
          <w:bCs/>
        </w:rPr>
        <w:t xml:space="preserve">December </w:t>
      </w:r>
      <w:r w:rsidR="004E2041" w:rsidRPr="00FB7B96">
        <w:rPr>
          <w:b/>
          <w:bCs/>
        </w:rPr>
        <w:t>2023</w:t>
      </w:r>
      <w:r w:rsidR="004E2041">
        <w:t xml:space="preserve">, the COT discussed the </w:t>
      </w:r>
      <w:r w:rsidR="009F06F8">
        <w:t xml:space="preserve">scientific evidence base, </w:t>
      </w:r>
      <w:r w:rsidR="00E90C02">
        <w:t>derivation and differences</w:t>
      </w:r>
      <w:r w:rsidR="009F06F8">
        <w:t xml:space="preserve"> in approaches of</w:t>
      </w:r>
      <w:r w:rsidR="00E90C02">
        <w:t xml:space="preserve"> the EFSA TDI and BfR TDI</w:t>
      </w:r>
      <w:r w:rsidR="006C5DF0">
        <w:t xml:space="preserve"> (the full discussion can be found </w:t>
      </w:r>
      <w:hyperlink r:id="rId20" w:history="1">
        <w:r w:rsidR="006C5DF0" w:rsidRPr="006C5DF0">
          <w:rPr>
            <w:rStyle w:val="Hyperlink"/>
          </w:rPr>
          <w:t>here</w:t>
        </w:r>
      </w:hyperlink>
      <w:r w:rsidR="006C5DF0">
        <w:t>)</w:t>
      </w:r>
      <w:r w:rsidR="006F6F04">
        <w:t xml:space="preserve">. </w:t>
      </w:r>
      <w:r w:rsidR="00AA4038">
        <w:t>T</w:t>
      </w:r>
      <w:r w:rsidR="006F6F04" w:rsidRPr="006F6F04">
        <w:t xml:space="preserve">he BfR </w:t>
      </w:r>
      <w:r w:rsidR="00AA4038">
        <w:t xml:space="preserve">and </w:t>
      </w:r>
      <w:r w:rsidR="006F6F04">
        <w:t>COT</w:t>
      </w:r>
      <w:r w:rsidR="00AA4038">
        <w:t xml:space="preserve"> agreed</w:t>
      </w:r>
      <w:r w:rsidR="006F6F04">
        <w:t xml:space="preserve"> that </w:t>
      </w:r>
      <w:r w:rsidR="009929A6">
        <w:t xml:space="preserve">the change in TH17 cells was </w:t>
      </w:r>
      <w:r w:rsidR="00B0010D">
        <w:t xml:space="preserve">not </w:t>
      </w:r>
      <w:r w:rsidR="009929A6">
        <w:t xml:space="preserve">an </w:t>
      </w:r>
      <w:r w:rsidR="009929A6" w:rsidRPr="009929A6">
        <w:t>appropriate endpoint to derive a point of departure</w:t>
      </w:r>
      <w:r w:rsidR="006F6F04" w:rsidRPr="006F6F04">
        <w:t xml:space="preserve"> </w:t>
      </w:r>
      <w:r w:rsidR="00B0010D">
        <w:t>for the derivation of a HBGV</w:t>
      </w:r>
      <w:r w:rsidR="00FF3414">
        <w:t xml:space="preserve"> but </w:t>
      </w:r>
      <w:r w:rsidR="006F6F04" w:rsidRPr="006F6F04">
        <w:t xml:space="preserve">instead </w:t>
      </w:r>
      <w:r w:rsidR="00FF3414">
        <w:t xml:space="preserve">the BfR </w:t>
      </w:r>
      <w:r w:rsidR="006F6F04" w:rsidRPr="006F6F04">
        <w:t xml:space="preserve">used reproductive effects, i.e. sperm mobility/mortality in rodents, in their BMD modelling and derivation of a point of departure. </w:t>
      </w:r>
      <w:r w:rsidR="00211974">
        <w:t>W</w:t>
      </w:r>
      <w:r w:rsidR="006B175A" w:rsidRPr="006B175A">
        <w:t>hile the BfR</w:t>
      </w:r>
      <w:r w:rsidR="00E60E23">
        <w:t>’s approach</w:t>
      </w:r>
      <w:r w:rsidR="006B175A" w:rsidRPr="006B175A">
        <w:t xml:space="preserve"> </w:t>
      </w:r>
      <w:r w:rsidR="00B36977">
        <w:t>was</w:t>
      </w:r>
      <w:r w:rsidR="006B175A" w:rsidRPr="006B175A">
        <w:t xml:space="preserve"> conservati</w:t>
      </w:r>
      <w:r w:rsidR="00B36977">
        <w:t>ve</w:t>
      </w:r>
      <w:r w:rsidR="006B175A" w:rsidRPr="006B175A">
        <w:t>, the overall assessment avoided unnecessary conservatism</w:t>
      </w:r>
      <w:r w:rsidR="00A74B2B">
        <w:t xml:space="preserve"> </w:t>
      </w:r>
      <w:r w:rsidR="00211974">
        <w:t>and after weighing the available evidence, t</w:t>
      </w:r>
      <w:r w:rsidR="00A74B2B">
        <w:t>he COT</w:t>
      </w:r>
      <w:r w:rsidR="00A74B2B" w:rsidRPr="006B175A">
        <w:t xml:space="preserve"> </w:t>
      </w:r>
      <w:r w:rsidR="008D6F69">
        <w:t>agreed with</w:t>
      </w:r>
      <w:r w:rsidR="008D6F69" w:rsidRPr="006B175A">
        <w:t xml:space="preserve"> </w:t>
      </w:r>
      <w:r w:rsidR="006B175A" w:rsidRPr="006B175A">
        <w:t>the endpoint selected by the BfR and the overall assessment</w:t>
      </w:r>
      <w:r w:rsidR="00211974">
        <w:t>. The COT therefore</w:t>
      </w:r>
      <w:r w:rsidR="006B175A" w:rsidRPr="006B175A">
        <w:t xml:space="preserve"> agreed to apply the TDI of 0.2 ug/kg bw per day derived by the BfR as an interim HBGV </w:t>
      </w:r>
      <w:r w:rsidR="004F700F">
        <w:t xml:space="preserve">to their assessments </w:t>
      </w:r>
      <w:r w:rsidR="006B175A" w:rsidRPr="006B175A">
        <w:t>until they have undertaken their own assessment/can reach a more considered position.</w:t>
      </w:r>
      <w:r w:rsidR="003E04FD">
        <w:t xml:space="preserve"> </w:t>
      </w:r>
    </w:p>
    <w:p w14:paraId="2FC22047" w14:textId="77777777" w:rsidR="00FB7B96" w:rsidRDefault="00587C4D" w:rsidP="00D97DC1">
      <w:pPr>
        <w:pStyle w:val="ListParagraph"/>
        <w:numPr>
          <w:ilvl w:val="0"/>
          <w:numId w:val="52"/>
        </w:numPr>
        <w:autoSpaceDE w:val="0"/>
        <w:autoSpaceDN w:val="0"/>
        <w:adjustRightInd w:val="0"/>
        <w:spacing w:line="480" w:lineRule="auto"/>
        <w:ind w:left="0" w:hanging="11"/>
        <w:contextualSpacing w:val="0"/>
      </w:pPr>
      <w:r>
        <w:t xml:space="preserve">In </w:t>
      </w:r>
      <w:r w:rsidRPr="00FB7B96">
        <w:rPr>
          <w:b/>
          <w:bCs/>
        </w:rPr>
        <w:t>December 2024</w:t>
      </w:r>
      <w:r>
        <w:t xml:space="preserve">, the EU adopted a ban on the use of BPA in FCMs, which took effect in </w:t>
      </w:r>
      <w:r w:rsidRPr="00FB7B96">
        <w:rPr>
          <w:b/>
          <w:bCs/>
        </w:rPr>
        <w:t>January 2025</w:t>
      </w:r>
      <w:r>
        <w:t>, with an 18-month phase-out period for industry compliance.</w:t>
      </w:r>
    </w:p>
    <w:p w14:paraId="18D32C92" w14:textId="3630D735" w:rsidR="00FB7B96" w:rsidRDefault="00C00142" w:rsidP="00AF0F05">
      <w:pPr>
        <w:pStyle w:val="ListParagraph"/>
        <w:numPr>
          <w:ilvl w:val="0"/>
          <w:numId w:val="52"/>
        </w:numPr>
        <w:autoSpaceDE w:val="0"/>
        <w:autoSpaceDN w:val="0"/>
        <w:adjustRightInd w:val="0"/>
        <w:spacing w:line="480" w:lineRule="auto"/>
        <w:ind w:left="0" w:hanging="11"/>
        <w:contextualSpacing w:val="0"/>
      </w:pPr>
      <w:r>
        <w:t xml:space="preserve">Following the discussion of the BfR assessment at the December meeting the draft interim statement was updated </w:t>
      </w:r>
      <w:r w:rsidR="00125965">
        <w:t xml:space="preserve">and </w:t>
      </w:r>
      <w:r w:rsidR="00B97E49">
        <w:t>discussed by</w:t>
      </w:r>
      <w:r w:rsidR="00125965">
        <w:t xml:space="preserve"> the COT in </w:t>
      </w:r>
      <w:r w:rsidR="00125965" w:rsidRPr="00FB7B96">
        <w:rPr>
          <w:b/>
          <w:bCs/>
        </w:rPr>
        <w:t>February 2024</w:t>
      </w:r>
      <w:r w:rsidR="00125965">
        <w:t xml:space="preserve"> (the full discussion can be found </w:t>
      </w:r>
      <w:hyperlink r:id="rId21" w:history="1">
        <w:r w:rsidR="00125965" w:rsidRPr="007A3CAC">
          <w:rPr>
            <w:rStyle w:val="Hyperlink"/>
          </w:rPr>
          <w:t>here</w:t>
        </w:r>
      </w:hyperlink>
      <w:r w:rsidR="00125965">
        <w:t>)</w:t>
      </w:r>
      <w:r>
        <w:t>.</w:t>
      </w:r>
      <w:r w:rsidR="007A3CAC">
        <w:t xml:space="preserve"> </w:t>
      </w:r>
      <w:r>
        <w:t xml:space="preserve">FSA policy colleagues advised </w:t>
      </w:r>
      <w:r w:rsidR="007A3CAC">
        <w:t xml:space="preserve">at the time, </w:t>
      </w:r>
      <w:r>
        <w:t xml:space="preserve">that the need for a UK TDI remains for risk management purposes. Given the extensive work and timelines of a full review of BPA and in light of the recent assessment by the BfR, the </w:t>
      </w:r>
      <w:r w:rsidR="00093047">
        <w:t>C</w:t>
      </w:r>
      <w:r w:rsidR="00C50A65">
        <w:t>OT</w:t>
      </w:r>
      <w:r w:rsidR="00093047">
        <w:t xml:space="preserve"> </w:t>
      </w:r>
      <w:r>
        <w:t xml:space="preserve">agreed that it was feasible to consider adopting assessments and HBGVs established by other authorities, rather than undertaking a (full) review themselves, where </w:t>
      </w:r>
      <w:r w:rsidR="00780BB3">
        <w:t xml:space="preserve">the Committee </w:t>
      </w:r>
      <w:r>
        <w:t>agreed with the approach and the scientific assessment of the database.</w:t>
      </w:r>
      <w:r w:rsidR="000D2D52">
        <w:t xml:space="preserve"> </w:t>
      </w:r>
      <w:r>
        <w:t>In the case of BPA, the C</w:t>
      </w:r>
      <w:r w:rsidR="000D2D52">
        <w:t>OT</w:t>
      </w:r>
      <w:r>
        <w:t xml:space="preserve"> had previously assessed the EFSA opinion, the diverging opinions by the BfR and the European </w:t>
      </w:r>
      <w:r>
        <w:lastRenderedPageBreak/>
        <w:t xml:space="preserve">Medical Agency (EMA) and then the full assessment by the BfR. While </w:t>
      </w:r>
      <w:r w:rsidR="008F07D0">
        <w:t xml:space="preserve">the COT </w:t>
      </w:r>
      <w:r>
        <w:t xml:space="preserve">had significant reservations regarding the approach taken by EFSA and their subsequent derivation of the HBGV, </w:t>
      </w:r>
      <w:r w:rsidR="008F07D0">
        <w:t xml:space="preserve">they </w:t>
      </w:r>
      <w:r>
        <w:t xml:space="preserve">agreed with the BfR approach and considered it, while conservative, scientifically robust and more reasonable. </w:t>
      </w:r>
      <w:r w:rsidRPr="00FB7B96">
        <w:rPr>
          <w:b/>
          <w:bCs/>
        </w:rPr>
        <w:t xml:space="preserve">The </w:t>
      </w:r>
      <w:r w:rsidR="00A705F6" w:rsidRPr="00FB7B96">
        <w:rPr>
          <w:b/>
          <w:bCs/>
        </w:rPr>
        <w:t>COT</w:t>
      </w:r>
      <w:r w:rsidRPr="00FB7B96">
        <w:rPr>
          <w:b/>
          <w:bCs/>
        </w:rPr>
        <w:t xml:space="preserve"> therefore agreed to adopt the BfR TDI</w:t>
      </w:r>
      <w:r>
        <w:t xml:space="preserve">. </w:t>
      </w:r>
    </w:p>
    <w:p w14:paraId="4AA70795" w14:textId="77777777" w:rsidR="00FB7B96" w:rsidRDefault="005E17D7" w:rsidP="00322E4B">
      <w:pPr>
        <w:pStyle w:val="ListParagraph"/>
        <w:numPr>
          <w:ilvl w:val="0"/>
          <w:numId w:val="52"/>
        </w:numPr>
        <w:autoSpaceDE w:val="0"/>
        <w:autoSpaceDN w:val="0"/>
        <w:adjustRightInd w:val="0"/>
        <w:spacing w:line="480" w:lineRule="auto"/>
        <w:ind w:left="0" w:hanging="11"/>
        <w:contextualSpacing w:val="0"/>
      </w:pPr>
      <w:r>
        <w:t>W</w:t>
      </w:r>
      <w:r w:rsidR="00C00142">
        <w:t xml:space="preserve">hile </w:t>
      </w:r>
      <w:r w:rsidR="008F07D0">
        <w:t xml:space="preserve">the COT </w:t>
      </w:r>
      <w:r w:rsidR="00C00142">
        <w:t xml:space="preserve">were content </w:t>
      </w:r>
      <w:r>
        <w:t>to publish a</w:t>
      </w:r>
      <w:r w:rsidR="00C00142">
        <w:t xml:space="preserve"> </w:t>
      </w:r>
      <w:r>
        <w:t xml:space="preserve">condensed </w:t>
      </w:r>
      <w:r w:rsidR="00C00142">
        <w:t>statement</w:t>
      </w:r>
      <w:r>
        <w:t>, in the interest of time,</w:t>
      </w:r>
      <w:r w:rsidR="00C00142">
        <w:t xml:space="preserve"> </w:t>
      </w:r>
      <w:r>
        <w:t xml:space="preserve">to reflect </w:t>
      </w:r>
      <w:r w:rsidR="008A3EF9">
        <w:t>their decision to adopt the BfR TDI</w:t>
      </w:r>
      <w:r w:rsidR="00724F3E">
        <w:t xml:space="preserve"> and to permit timely risk management</w:t>
      </w:r>
      <w:r w:rsidR="008A3EF9">
        <w:t xml:space="preserve">, </w:t>
      </w:r>
      <w:r w:rsidR="00C00142">
        <w:t xml:space="preserve">they </w:t>
      </w:r>
      <w:r w:rsidR="00D847A9">
        <w:t xml:space="preserve">stressed </w:t>
      </w:r>
      <w:r w:rsidR="00B30A23">
        <w:t xml:space="preserve">that </w:t>
      </w:r>
      <w:r w:rsidR="00C00142">
        <w:t xml:space="preserve">a detailed supplementary statement </w:t>
      </w:r>
      <w:r w:rsidR="00B30A23">
        <w:t>would be required</w:t>
      </w:r>
      <w:r w:rsidR="00C00142">
        <w:t xml:space="preserve">. This statement </w:t>
      </w:r>
      <w:r w:rsidR="00B30A23">
        <w:t>was</w:t>
      </w:r>
      <w:r w:rsidR="008A3EF9">
        <w:t xml:space="preserve"> </w:t>
      </w:r>
      <w:r w:rsidR="00676713">
        <w:t>considered</w:t>
      </w:r>
      <w:r w:rsidR="007879D4">
        <w:t xml:space="preserve"> </w:t>
      </w:r>
      <w:r w:rsidR="00B30A23">
        <w:t>essential</w:t>
      </w:r>
      <w:r w:rsidR="008A3EF9">
        <w:t xml:space="preserve"> </w:t>
      </w:r>
      <w:r w:rsidR="005A0A53">
        <w:t xml:space="preserve">to </w:t>
      </w:r>
      <w:r w:rsidR="00C00142">
        <w:t xml:space="preserve">provide </w:t>
      </w:r>
      <w:r w:rsidR="005A0A53">
        <w:t xml:space="preserve">the scientific basis </w:t>
      </w:r>
      <w:r w:rsidR="001938A3">
        <w:t>o</w:t>
      </w:r>
      <w:r w:rsidR="002F2EB1">
        <w:t>f</w:t>
      </w:r>
      <w:r w:rsidR="001938A3">
        <w:t xml:space="preserve"> </w:t>
      </w:r>
      <w:r w:rsidR="00C00142">
        <w:t>the Committee</w:t>
      </w:r>
      <w:r w:rsidR="001938A3">
        <w:t>’s</w:t>
      </w:r>
      <w:r w:rsidR="00C00142">
        <w:t xml:space="preserve"> conclusion to ad</w:t>
      </w:r>
      <w:r w:rsidR="005A0A53">
        <w:t>o</w:t>
      </w:r>
      <w:r w:rsidR="00C00142">
        <w:t xml:space="preserve">pt the BfR TDI, </w:t>
      </w:r>
      <w:r w:rsidR="002F2EB1">
        <w:t xml:space="preserve">demonstrating how their decision was protective of UK consumers. The supplementary statement should thereby </w:t>
      </w:r>
      <w:r w:rsidR="005A0A53">
        <w:t>highlight</w:t>
      </w:r>
      <w:r w:rsidR="002F2EB1">
        <w:t xml:space="preserve"> the</w:t>
      </w:r>
      <w:r w:rsidR="00C00142">
        <w:t xml:space="preserve"> concerns regarding the EFSA TDI</w:t>
      </w:r>
      <w:r w:rsidR="009D25A3">
        <w:t xml:space="preserve"> and</w:t>
      </w:r>
      <w:r w:rsidR="00DE6817">
        <w:t xml:space="preserve"> </w:t>
      </w:r>
      <w:r w:rsidR="00C00142">
        <w:t xml:space="preserve">the Committee’s review of the </w:t>
      </w:r>
      <w:r w:rsidR="00DE6817">
        <w:t xml:space="preserve">relevant </w:t>
      </w:r>
      <w:r w:rsidR="00C00142">
        <w:t xml:space="preserve">studies and </w:t>
      </w:r>
      <w:r w:rsidR="004453E5">
        <w:t>approach</w:t>
      </w:r>
      <w:r w:rsidR="00C00142">
        <w:t xml:space="preserve"> taken by the BfR, including the modelling and studies selected to establish the HBGV. </w:t>
      </w:r>
      <w:r w:rsidR="008F63C0">
        <w:t>The supplementary statement should also include discussion</w:t>
      </w:r>
      <w:r w:rsidR="004453E5">
        <w:t>s</w:t>
      </w:r>
      <w:r w:rsidR="008F63C0">
        <w:t xml:space="preserve"> of </w:t>
      </w:r>
      <w:r w:rsidR="004453E5">
        <w:t xml:space="preserve">any </w:t>
      </w:r>
      <w:r w:rsidR="000F27E8">
        <w:t xml:space="preserve">relevant information </w:t>
      </w:r>
      <w:r w:rsidR="00D847A9">
        <w:t xml:space="preserve">that </w:t>
      </w:r>
      <w:r w:rsidR="00542965">
        <w:t>was</w:t>
      </w:r>
      <w:r w:rsidR="000F27E8">
        <w:t xml:space="preserve"> published since the BfR assessment</w:t>
      </w:r>
      <w:r w:rsidR="00D847A9">
        <w:t>, and hence</w:t>
      </w:r>
      <w:r w:rsidR="00542965">
        <w:t>,</w:t>
      </w:r>
      <w:r w:rsidR="00D847A9">
        <w:t xml:space="preserve"> a short</w:t>
      </w:r>
      <w:r w:rsidR="000F27E8">
        <w:t xml:space="preserve"> </w:t>
      </w:r>
      <w:r w:rsidR="00D847A9">
        <w:t>literature search on the relevant endpoints should be included</w:t>
      </w:r>
      <w:r w:rsidR="00542965">
        <w:t>,</w:t>
      </w:r>
      <w:r w:rsidR="00542965" w:rsidRPr="00542965">
        <w:t xml:space="preserve"> </w:t>
      </w:r>
      <w:r w:rsidR="00542965">
        <w:t>from the BfR cut-off</w:t>
      </w:r>
      <w:r w:rsidR="00D847A9">
        <w:t xml:space="preserve">. </w:t>
      </w:r>
    </w:p>
    <w:p w14:paraId="19D7E1FC" w14:textId="77777777" w:rsidR="00FB7B96" w:rsidRDefault="0016787C" w:rsidP="001D526D">
      <w:pPr>
        <w:pStyle w:val="ListParagraph"/>
        <w:numPr>
          <w:ilvl w:val="0"/>
          <w:numId w:val="52"/>
        </w:numPr>
        <w:autoSpaceDE w:val="0"/>
        <w:autoSpaceDN w:val="0"/>
        <w:adjustRightInd w:val="0"/>
        <w:spacing w:line="480" w:lineRule="auto"/>
        <w:ind w:left="0" w:hanging="11"/>
        <w:contextualSpacing w:val="0"/>
      </w:pPr>
      <w:r>
        <w:t xml:space="preserve">The </w:t>
      </w:r>
      <w:r w:rsidR="005D72DC">
        <w:t xml:space="preserve">draft </w:t>
      </w:r>
      <w:r>
        <w:t xml:space="preserve">interim statement was </w:t>
      </w:r>
      <w:r w:rsidR="00724F3E">
        <w:t xml:space="preserve">amended to reflect this development and </w:t>
      </w:r>
      <w:r w:rsidR="00A81741">
        <w:t>form a</w:t>
      </w:r>
      <w:r w:rsidR="00E345BE">
        <w:t xml:space="preserve"> draft</w:t>
      </w:r>
      <w:r w:rsidR="006668DA">
        <w:t xml:space="preserve"> position paper </w:t>
      </w:r>
      <w:r w:rsidR="00A81741">
        <w:t xml:space="preserve">which </w:t>
      </w:r>
      <w:r w:rsidR="005D72DC">
        <w:t xml:space="preserve">was </w:t>
      </w:r>
      <w:r w:rsidR="00E345BE">
        <w:t xml:space="preserve">discussed </w:t>
      </w:r>
      <w:r w:rsidR="00F158E9">
        <w:t xml:space="preserve">by the COT at the </w:t>
      </w:r>
      <w:r w:rsidR="00F158E9" w:rsidRPr="00FB7B96">
        <w:rPr>
          <w:b/>
          <w:bCs/>
        </w:rPr>
        <w:t>March 2024</w:t>
      </w:r>
      <w:r w:rsidR="00F158E9">
        <w:t xml:space="preserve"> meeting (</w:t>
      </w:r>
      <w:hyperlink r:id="rId22" w:history="1">
        <w:r w:rsidR="00F158E9" w:rsidRPr="00F158E9">
          <w:rPr>
            <w:rStyle w:val="Hyperlink"/>
          </w:rPr>
          <w:t>here</w:t>
        </w:r>
      </w:hyperlink>
      <w:r w:rsidR="00F158E9">
        <w:t>) and</w:t>
      </w:r>
      <w:r w:rsidR="003E1E5F">
        <w:t xml:space="preserve"> </w:t>
      </w:r>
      <w:r w:rsidR="003E1E5F" w:rsidRPr="00FB7B96">
        <w:rPr>
          <w:b/>
          <w:bCs/>
        </w:rPr>
        <w:t>May 2024</w:t>
      </w:r>
      <w:r w:rsidR="003E1E5F">
        <w:t xml:space="preserve"> meeting (</w:t>
      </w:r>
      <w:hyperlink r:id="rId23" w:history="1">
        <w:r w:rsidR="003E1E5F" w:rsidRPr="00743DC0">
          <w:rPr>
            <w:rStyle w:val="Hyperlink"/>
          </w:rPr>
          <w:t>here</w:t>
        </w:r>
      </w:hyperlink>
      <w:r w:rsidR="003E1E5F">
        <w:t>).</w:t>
      </w:r>
      <w:r w:rsidR="00743DC0">
        <w:t xml:space="preserve"> </w:t>
      </w:r>
      <w:r w:rsidR="00743DC0" w:rsidRPr="00FB7B96">
        <w:rPr>
          <w:b/>
          <w:bCs/>
        </w:rPr>
        <w:t xml:space="preserve">The final position paper was published in </w:t>
      </w:r>
      <w:r w:rsidR="00357C75" w:rsidRPr="00FB7B96">
        <w:rPr>
          <w:b/>
          <w:bCs/>
        </w:rPr>
        <w:t xml:space="preserve">May </w:t>
      </w:r>
      <w:r w:rsidR="00743DC0" w:rsidRPr="00FB7B96">
        <w:rPr>
          <w:b/>
          <w:bCs/>
        </w:rPr>
        <w:t>2024</w:t>
      </w:r>
      <w:r w:rsidR="00743DC0" w:rsidRPr="0023525F">
        <w:t xml:space="preserve">, and can be found </w:t>
      </w:r>
      <w:hyperlink r:id="rId24" w:history="1">
        <w:r w:rsidR="00743DC0" w:rsidRPr="0023525F">
          <w:rPr>
            <w:rStyle w:val="Hyperlink"/>
          </w:rPr>
          <w:t>here</w:t>
        </w:r>
      </w:hyperlink>
      <w:r w:rsidR="00743DC0" w:rsidRPr="0023525F">
        <w:t>.</w:t>
      </w:r>
    </w:p>
    <w:p w14:paraId="525FF57D" w14:textId="77777777" w:rsidR="00FB7B96" w:rsidRDefault="007863F7" w:rsidP="00862F07">
      <w:pPr>
        <w:pStyle w:val="ListParagraph"/>
        <w:numPr>
          <w:ilvl w:val="0"/>
          <w:numId w:val="52"/>
        </w:numPr>
        <w:autoSpaceDE w:val="0"/>
        <w:autoSpaceDN w:val="0"/>
        <w:adjustRightInd w:val="0"/>
        <w:spacing w:line="480" w:lineRule="auto"/>
        <w:ind w:left="0" w:hanging="11"/>
        <w:contextualSpacing w:val="0"/>
      </w:pPr>
      <w:r>
        <w:t>Following</w:t>
      </w:r>
      <w:r w:rsidR="00AF2F1B">
        <w:t xml:space="preserve"> the publication of the </w:t>
      </w:r>
      <w:r>
        <w:t xml:space="preserve">COT position paper a small working group was formed, which met in </w:t>
      </w:r>
      <w:r w:rsidR="00AC69E6" w:rsidRPr="00FB7B96">
        <w:rPr>
          <w:b/>
          <w:bCs/>
        </w:rPr>
        <w:t>October</w:t>
      </w:r>
      <w:r w:rsidR="008471BD" w:rsidRPr="00FB7B96">
        <w:rPr>
          <w:b/>
          <w:bCs/>
        </w:rPr>
        <w:t xml:space="preserve"> 2024</w:t>
      </w:r>
      <w:r w:rsidR="00AC69E6" w:rsidRPr="00FB7B96">
        <w:rPr>
          <w:b/>
          <w:bCs/>
        </w:rPr>
        <w:t xml:space="preserve"> </w:t>
      </w:r>
      <w:r w:rsidR="00AC69E6" w:rsidRPr="008471BD">
        <w:t>and</w:t>
      </w:r>
      <w:r w:rsidR="00AC69E6" w:rsidRPr="00FB7B96">
        <w:rPr>
          <w:b/>
          <w:bCs/>
        </w:rPr>
        <w:t xml:space="preserve"> December 2024</w:t>
      </w:r>
      <w:r w:rsidR="003C271F">
        <w:t xml:space="preserve">. </w:t>
      </w:r>
      <w:r w:rsidR="008471BD">
        <w:t>The</w:t>
      </w:r>
      <w:r w:rsidR="00096123">
        <w:t xml:space="preserve"> WG discussed </w:t>
      </w:r>
      <w:r w:rsidR="00096123">
        <w:lastRenderedPageBreak/>
        <w:t>the studies/information retrieved from the literature search</w:t>
      </w:r>
      <w:r w:rsidR="00A70B8B">
        <w:t xml:space="preserve">, as well as the outline and </w:t>
      </w:r>
      <w:r w:rsidR="00276740">
        <w:t xml:space="preserve">(level of) </w:t>
      </w:r>
      <w:r w:rsidR="00E23940">
        <w:t>information</w:t>
      </w:r>
      <w:r w:rsidR="00A70B8B">
        <w:t xml:space="preserve"> to</w:t>
      </w:r>
      <w:r w:rsidR="00276740">
        <w:t xml:space="preserve"> be</w:t>
      </w:r>
      <w:r w:rsidR="00A70B8B">
        <w:t xml:space="preserve"> include</w:t>
      </w:r>
      <w:r w:rsidR="00276740">
        <w:t>d</w:t>
      </w:r>
      <w:r w:rsidR="00A70B8B">
        <w:t xml:space="preserve"> in the </w:t>
      </w:r>
      <w:r w:rsidR="00441F44">
        <w:t xml:space="preserve">supplementary statement. </w:t>
      </w:r>
    </w:p>
    <w:p w14:paraId="10B4BB64" w14:textId="77777777" w:rsidR="00FB7B96" w:rsidRDefault="00F3726B" w:rsidP="00FF41AF">
      <w:pPr>
        <w:pStyle w:val="ListParagraph"/>
        <w:numPr>
          <w:ilvl w:val="0"/>
          <w:numId w:val="52"/>
        </w:numPr>
        <w:autoSpaceDE w:val="0"/>
        <w:autoSpaceDN w:val="0"/>
        <w:adjustRightInd w:val="0"/>
        <w:spacing w:line="480" w:lineRule="auto"/>
        <w:ind w:left="0" w:hanging="11"/>
        <w:contextualSpacing w:val="0"/>
      </w:pPr>
      <w:r>
        <w:t xml:space="preserve">With thanks to the </w:t>
      </w:r>
      <w:r w:rsidR="00276740">
        <w:t>WG</w:t>
      </w:r>
      <w:r>
        <w:t xml:space="preserve"> </w:t>
      </w:r>
      <w:r w:rsidR="000D3B29">
        <w:t xml:space="preserve">the following supplementary statement (Annex A) provides the </w:t>
      </w:r>
      <w:r w:rsidR="00A73B5C">
        <w:t>transparent weighing of evidence</w:t>
      </w:r>
      <w:r w:rsidR="00592167">
        <w:t xml:space="preserve"> </w:t>
      </w:r>
      <w:r w:rsidR="00EB145D">
        <w:t>presented in the EFSA and BfR assessment</w:t>
      </w:r>
      <w:r w:rsidR="00FA13D2">
        <w:t>s</w:t>
      </w:r>
      <w:r w:rsidR="00EB145D">
        <w:t xml:space="preserve">, </w:t>
      </w:r>
      <w:r w:rsidR="00592167">
        <w:t>and retrieved literature,</w:t>
      </w:r>
      <w:r w:rsidR="004403D5">
        <w:t xml:space="preserve"> with a </w:t>
      </w:r>
      <w:r w:rsidR="00EB145D">
        <w:t>focus on immunotox</w:t>
      </w:r>
      <w:r w:rsidR="00110B86">
        <w:t xml:space="preserve">icity and reproductive and developmental effects as endpoints of BPA exposure. The paper </w:t>
      </w:r>
      <w:r w:rsidR="005E46EA">
        <w:t>further</w:t>
      </w:r>
      <w:r w:rsidR="004403D5">
        <w:t xml:space="preserve"> includes the discussions and considerations </w:t>
      </w:r>
      <w:r w:rsidR="000D3B29">
        <w:t>that resulted in the COT</w:t>
      </w:r>
      <w:r w:rsidR="00084A56">
        <w:t xml:space="preserve"> adopting the TDI set by the BfR</w:t>
      </w:r>
      <w:r w:rsidR="00D70A6A">
        <w:t xml:space="preserve">, and considering this TDI sufficiently </w:t>
      </w:r>
      <w:r w:rsidR="000C153F">
        <w:t>protective of UK consumers, although lower than the EFSA TDI</w:t>
      </w:r>
      <w:r w:rsidR="00EF32F5">
        <w:t xml:space="preserve">. </w:t>
      </w:r>
    </w:p>
    <w:p w14:paraId="59FA795F" w14:textId="77777777" w:rsidR="00FB7B96" w:rsidRDefault="00EF32F5" w:rsidP="003453D4">
      <w:pPr>
        <w:pStyle w:val="ListParagraph"/>
        <w:numPr>
          <w:ilvl w:val="0"/>
          <w:numId w:val="52"/>
        </w:numPr>
        <w:autoSpaceDE w:val="0"/>
        <w:autoSpaceDN w:val="0"/>
        <w:adjustRightInd w:val="0"/>
        <w:spacing w:line="480" w:lineRule="auto"/>
        <w:ind w:left="0" w:hanging="11"/>
        <w:contextualSpacing w:val="0"/>
      </w:pPr>
      <w:r>
        <w:t xml:space="preserve">Please note, </w:t>
      </w:r>
      <w:r w:rsidR="009D5906">
        <w:t>the supplementary statement is not a</w:t>
      </w:r>
      <w:r w:rsidR="006B78F5">
        <w:t xml:space="preserve">n independent piece of work or a </w:t>
      </w:r>
      <w:r w:rsidR="009D5906">
        <w:t xml:space="preserve">statement by itself but is the underlying scientific weighing of all information that resulted in the COT adopting the TDI of </w:t>
      </w:r>
      <w:r w:rsidR="000929BA" w:rsidRPr="000929BA">
        <w:t>TDI of 0.2 µg/kg bw per day</w:t>
      </w:r>
      <w:r w:rsidR="000929BA">
        <w:t xml:space="preserve">. </w:t>
      </w:r>
    </w:p>
    <w:p w14:paraId="44B9B132" w14:textId="51E504EA" w:rsidR="00EF32F5" w:rsidRDefault="006B78F5" w:rsidP="003453D4">
      <w:pPr>
        <w:pStyle w:val="ListParagraph"/>
        <w:numPr>
          <w:ilvl w:val="0"/>
          <w:numId w:val="52"/>
        </w:numPr>
        <w:autoSpaceDE w:val="0"/>
        <w:autoSpaceDN w:val="0"/>
        <w:adjustRightInd w:val="0"/>
        <w:spacing w:line="480" w:lineRule="auto"/>
        <w:ind w:left="0" w:hanging="11"/>
        <w:contextualSpacing w:val="0"/>
      </w:pPr>
      <w:r>
        <w:t xml:space="preserve">Please also note, the working group has signed off on the statement in </w:t>
      </w:r>
      <w:r w:rsidRPr="00FB7B96">
        <w:rPr>
          <w:b/>
          <w:bCs/>
        </w:rPr>
        <w:t>November 2025</w:t>
      </w:r>
      <w:r>
        <w:t>.</w:t>
      </w:r>
    </w:p>
    <w:p w14:paraId="4183E41D" w14:textId="75944044" w:rsidR="006B78F5" w:rsidRDefault="006B78F5" w:rsidP="00DE6453">
      <w:pPr>
        <w:pStyle w:val="Heading1"/>
      </w:pPr>
      <w:r w:rsidRPr="003E1724">
        <w:t>Questions to the Committee</w:t>
      </w:r>
    </w:p>
    <w:p w14:paraId="6E73D363" w14:textId="77777777" w:rsidR="00C22F7A" w:rsidRPr="00C22F7A" w:rsidRDefault="00C22F7A" w:rsidP="00C22F7A"/>
    <w:p w14:paraId="3FEFB35D" w14:textId="3F55DBDA" w:rsidR="001D607A" w:rsidRDefault="001D607A" w:rsidP="001D607A">
      <w:pPr>
        <w:pStyle w:val="ListParagraph"/>
        <w:numPr>
          <w:ilvl w:val="0"/>
          <w:numId w:val="51"/>
        </w:numPr>
        <w:autoSpaceDE w:val="0"/>
        <w:autoSpaceDN w:val="0"/>
        <w:adjustRightInd w:val="0"/>
        <w:spacing w:line="480" w:lineRule="auto"/>
      </w:pPr>
      <w:r>
        <w:t>Do the Committee agree with the structure of the supplementary statement.</w:t>
      </w:r>
    </w:p>
    <w:p w14:paraId="3EAF9AC9" w14:textId="703C009E" w:rsidR="003E1724" w:rsidRDefault="00055CF0" w:rsidP="003E1724">
      <w:pPr>
        <w:pStyle w:val="ListParagraph"/>
        <w:numPr>
          <w:ilvl w:val="0"/>
          <w:numId w:val="51"/>
        </w:numPr>
        <w:autoSpaceDE w:val="0"/>
        <w:autoSpaceDN w:val="0"/>
        <w:adjustRightInd w:val="0"/>
        <w:spacing w:line="480" w:lineRule="auto"/>
      </w:pPr>
      <w:r>
        <w:t>Do</w:t>
      </w:r>
      <w:r w:rsidR="001D607A">
        <w:t xml:space="preserve"> the Committee </w:t>
      </w:r>
      <w:r>
        <w:t>consider the supplementary statement sufficiently detail</w:t>
      </w:r>
      <w:r w:rsidR="000E204D">
        <w:t>ed</w:t>
      </w:r>
      <w:r>
        <w:t xml:space="preserve"> and transparent </w:t>
      </w:r>
      <w:r w:rsidR="000E204D">
        <w:t xml:space="preserve">to reflect </w:t>
      </w:r>
      <w:r>
        <w:t>how they reached the conclusion to adopt</w:t>
      </w:r>
      <w:r w:rsidR="003E1724">
        <w:t xml:space="preserve"> the BfR TDI.</w:t>
      </w:r>
    </w:p>
    <w:p w14:paraId="4841A1FD" w14:textId="276A2B4C" w:rsidR="003E1724" w:rsidRDefault="003E1724" w:rsidP="003E1724">
      <w:pPr>
        <w:pStyle w:val="ListParagraph"/>
        <w:numPr>
          <w:ilvl w:val="0"/>
          <w:numId w:val="51"/>
        </w:numPr>
        <w:autoSpaceDE w:val="0"/>
        <w:autoSpaceDN w:val="0"/>
        <w:adjustRightInd w:val="0"/>
        <w:spacing w:line="480" w:lineRule="auto"/>
      </w:pPr>
      <w:r>
        <w:t>Do the Committee have any other comments.</w:t>
      </w:r>
    </w:p>
    <w:p w14:paraId="776EB332" w14:textId="65BBD487" w:rsidR="003E1724" w:rsidRPr="003E1724" w:rsidRDefault="003E1724" w:rsidP="003E1724">
      <w:pPr>
        <w:autoSpaceDE w:val="0"/>
        <w:autoSpaceDN w:val="0"/>
        <w:adjustRightInd w:val="0"/>
        <w:spacing w:line="480" w:lineRule="auto"/>
        <w:rPr>
          <w:b/>
          <w:bCs/>
        </w:rPr>
      </w:pPr>
      <w:r w:rsidRPr="003E1724">
        <w:rPr>
          <w:b/>
          <w:bCs/>
        </w:rPr>
        <w:t>COT Secretariat</w:t>
      </w:r>
    </w:p>
    <w:p w14:paraId="412A9B7A" w14:textId="56B8D8B8" w:rsidR="003E1724" w:rsidRPr="003E1724" w:rsidRDefault="003E1724" w:rsidP="003E1724">
      <w:pPr>
        <w:autoSpaceDE w:val="0"/>
        <w:autoSpaceDN w:val="0"/>
        <w:adjustRightInd w:val="0"/>
        <w:spacing w:line="480" w:lineRule="auto"/>
        <w:rPr>
          <w:b/>
          <w:bCs/>
        </w:rPr>
      </w:pPr>
      <w:r w:rsidRPr="003E1724">
        <w:rPr>
          <w:b/>
          <w:bCs/>
        </w:rPr>
        <w:t>November 2025</w:t>
      </w:r>
    </w:p>
    <w:p w14:paraId="60C07861" w14:textId="3EAC81A1" w:rsidR="00790F35" w:rsidRDefault="004B2B34" w:rsidP="00797CA1">
      <w:pPr>
        <w:spacing w:line="480" w:lineRule="auto"/>
        <w:jc w:val="right"/>
        <w:rPr>
          <w:b/>
          <w:bCs/>
          <w:sz w:val="28"/>
          <w:szCs w:val="28"/>
        </w:rPr>
      </w:pPr>
      <w:r>
        <w:rPr>
          <w:b/>
          <w:bCs/>
          <w:sz w:val="28"/>
          <w:szCs w:val="28"/>
        </w:rPr>
        <w:lastRenderedPageBreak/>
        <w:t>TOX/2025/</w:t>
      </w:r>
      <w:r w:rsidR="007F4C08">
        <w:rPr>
          <w:b/>
          <w:bCs/>
          <w:sz w:val="28"/>
          <w:szCs w:val="28"/>
        </w:rPr>
        <w:t>47</w:t>
      </w:r>
      <w:r w:rsidR="00797CA1">
        <w:rPr>
          <w:b/>
          <w:bCs/>
          <w:sz w:val="28"/>
          <w:szCs w:val="28"/>
        </w:rPr>
        <w:t xml:space="preserve"> Annex A</w:t>
      </w:r>
    </w:p>
    <w:p w14:paraId="246A89F9" w14:textId="652BEA18" w:rsidR="006F1727" w:rsidRDefault="006F1727" w:rsidP="00461E31">
      <w:pPr>
        <w:spacing w:line="480" w:lineRule="auto"/>
        <w:rPr>
          <w:b/>
          <w:bCs/>
          <w:sz w:val="28"/>
          <w:szCs w:val="28"/>
        </w:rPr>
      </w:pPr>
      <w:r w:rsidRPr="006F1727">
        <w:rPr>
          <w:b/>
          <w:bCs/>
          <w:sz w:val="28"/>
          <w:szCs w:val="28"/>
        </w:rPr>
        <w:t xml:space="preserve">Committee on Toxicity of Chemicals in Food, Consumer Products and the Environment (COT) </w:t>
      </w:r>
    </w:p>
    <w:p w14:paraId="0C1A5A75" w14:textId="31B56BAA" w:rsidR="004C0E68" w:rsidRPr="00D4025A" w:rsidRDefault="00A2698E" w:rsidP="00922FA9">
      <w:pPr>
        <w:spacing w:line="480" w:lineRule="auto"/>
        <w:rPr>
          <w:b/>
          <w:bCs/>
          <w:sz w:val="28"/>
          <w:szCs w:val="28"/>
          <w:lang w:eastAsia="de-DE"/>
        </w:rPr>
      </w:pPr>
      <w:r>
        <w:rPr>
          <w:b/>
          <w:bCs/>
          <w:sz w:val="28"/>
          <w:szCs w:val="28"/>
          <w:lang w:eastAsia="de-DE"/>
        </w:rPr>
        <w:t>Draft supplementary statement to the COT’s p</w:t>
      </w:r>
      <w:r w:rsidR="006F1727" w:rsidRPr="006F1727">
        <w:rPr>
          <w:b/>
          <w:bCs/>
          <w:sz w:val="28"/>
          <w:szCs w:val="28"/>
          <w:lang w:eastAsia="de-DE"/>
        </w:rPr>
        <w:t xml:space="preserve">osition </w:t>
      </w:r>
      <w:r w:rsidR="005B4915">
        <w:rPr>
          <w:b/>
          <w:bCs/>
          <w:sz w:val="28"/>
          <w:szCs w:val="28"/>
          <w:lang w:eastAsia="de-DE"/>
        </w:rPr>
        <w:t>paper</w:t>
      </w:r>
      <w:r w:rsidR="006F1727" w:rsidRPr="006F1727">
        <w:rPr>
          <w:b/>
          <w:bCs/>
          <w:sz w:val="28"/>
          <w:szCs w:val="28"/>
          <w:lang w:eastAsia="de-DE"/>
        </w:rPr>
        <w:t xml:space="preserve"> on bisphenol A </w:t>
      </w:r>
      <w:bookmarkEnd w:id="0"/>
      <w:r w:rsidR="006C71BB">
        <w:rPr>
          <w:b/>
          <w:bCs/>
          <w:sz w:val="28"/>
          <w:szCs w:val="28"/>
          <w:lang w:eastAsia="de-DE"/>
        </w:rPr>
        <w:t>(BPA)</w:t>
      </w:r>
      <w:r w:rsidR="00F06497">
        <w:rPr>
          <w:b/>
          <w:bCs/>
          <w:sz w:val="28"/>
          <w:szCs w:val="28"/>
          <w:lang w:eastAsia="de-DE"/>
        </w:rPr>
        <w:t xml:space="preserve"> </w:t>
      </w:r>
    </w:p>
    <w:p w14:paraId="65723795" w14:textId="39C34005" w:rsidR="003527CF" w:rsidRDefault="00984EE2" w:rsidP="007F4C08">
      <w:pPr>
        <w:pStyle w:val="Heading1"/>
      </w:pPr>
      <w:bookmarkStart w:id="1" w:name="_Hlk214273765"/>
      <w:bookmarkStart w:id="2" w:name="_Hlk214273919"/>
      <w:r>
        <w:t>Introduction</w:t>
      </w:r>
    </w:p>
    <w:p w14:paraId="541627E0" w14:textId="77777777" w:rsidR="001B1F3A" w:rsidRPr="001B1F3A" w:rsidRDefault="001B1F3A" w:rsidP="001B1F3A"/>
    <w:p w14:paraId="25E9B9E1" w14:textId="79E3F336" w:rsidR="00CC0BC4" w:rsidRDefault="017BD208" w:rsidP="000C18E8">
      <w:pPr>
        <w:pStyle w:val="ListParagraph"/>
        <w:numPr>
          <w:ilvl w:val="0"/>
          <w:numId w:val="46"/>
        </w:numPr>
        <w:autoSpaceDE w:val="0"/>
        <w:autoSpaceDN w:val="0"/>
        <w:adjustRightInd w:val="0"/>
        <w:spacing w:line="480" w:lineRule="auto"/>
        <w:ind w:left="0" w:hanging="11"/>
      </w:pPr>
      <w:r>
        <w:t>B</w:t>
      </w:r>
      <w:r w:rsidR="004F4566">
        <w:t>isphenol A</w:t>
      </w:r>
      <w:r w:rsidR="006C71BB">
        <w:t xml:space="preserve"> </w:t>
      </w:r>
      <w:bookmarkEnd w:id="1"/>
      <w:r w:rsidR="00E83822">
        <w:t xml:space="preserve">(BPA) </w:t>
      </w:r>
      <w:r w:rsidR="006C71BB">
        <w:t xml:space="preserve">is </w:t>
      </w:r>
      <w:r w:rsidR="00F6139D">
        <w:t xml:space="preserve">used as </w:t>
      </w:r>
      <w:r w:rsidR="006C71BB">
        <w:t>a monomer</w:t>
      </w:r>
      <w:r w:rsidR="004D01F3">
        <w:t xml:space="preserve"> in the manufacture of polycarbonates (PC)</w:t>
      </w:r>
      <w:r w:rsidR="00784EC2">
        <w:t>,</w:t>
      </w:r>
      <w:r w:rsidR="004D01F3">
        <w:t xml:space="preserve"> </w:t>
      </w:r>
      <w:bookmarkEnd w:id="2"/>
      <w:r w:rsidR="004D01F3">
        <w:t>epoxy resins</w:t>
      </w:r>
      <w:r w:rsidR="00784EC2">
        <w:t xml:space="preserve"> and other polymeric materials, </w:t>
      </w:r>
      <w:r w:rsidR="00397B7F">
        <w:t xml:space="preserve">and certain paper products (thermal printing). </w:t>
      </w:r>
      <w:r w:rsidR="00913805">
        <w:t xml:space="preserve">BPA has been </w:t>
      </w:r>
      <w:r w:rsidR="009D782D">
        <w:t xml:space="preserve">prohibited in coatings and varnishes </w:t>
      </w:r>
      <w:r w:rsidR="002E1B51">
        <w:t>for</w:t>
      </w:r>
      <w:r w:rsidR="009D782D">
        <w:t xml:space="preserve"> </w:t>
      </w:r>
      <w:r w:rsidR="00A129ED">
        <w:t>food contact materials (</w:t>
      </w:r>
      <w:r w:rsidR="009D782D">
        <w:t>FCMs</w:t>
      </w:r>
      <w:r w:rsidR="00A129ED">
        <w:t>)</w:t>
      </w:r>
      <w:r w:rsidR="009D782D">
        <w:t xml:space="preserve"> intended for infants and young children</w:t>
      </w:r>
      <w:r w:rsidR="00A35EF7">
        <w:t xml:space="preserve"> since 2018</w:t>
      </w:r>
      <w:r w:rsidR="002E1B51">
        <w:t>. However</w:t>
      </w:r>
      <w:r w:rsidR="00224464">
        <w:t xml:space="preserve">, it </w:t>
      </w:r>
      <w:r w:rsidR="00434FD4">
        <w:t xml:space="preserve">continued to be </w:t>
      </w:r>
      <w:r w:rsidR="00224464">
        <w:t>u</w:t>
      </w:r>
      <w:r w:rsidR="007A4AF2">
        <w:t xml:space="preserve">sed </w:t>
      </w:r>
      <w:r w:rsidR="00142CC8">
        <w:t>and authorised</w:t>
      </w:r>
      <w:r w:rsidR="00224464">
        <w:t xml:space="preserve"> in the </w:t>
      </w:r>
      <w:r w:rsidR="00120156">
        <w:t xml:space="preserve">European Union (EU) and </w:t>
      </w:r>
      <w:r w:rsidR="00D61A16">
        <w:t>United Kingdom (</w:t>
      </w:r>
      <w:r w:rsidR="00120156">
        <w:t>UK</w:t>
      </w:r>
      <w:r w:rsidR="00D61A16">
        <w:t>)</w:t>
      </w:r>
      <w:r w:rsidR="00142CC8">
        <w:t xml:space="preserve"> </w:t>
      </w:r>
      <w:r w:rsidR="009454FA">
        <w:t>for applications</w:t>
      </w:r>
      <w:r w:rsidR="007A4AF2">
        <w:t xml:space="preserve"> such as reusable bottles, tableware and storage containers, </w:t>
      </w:r>
      <w:r w:rsidR="005377F1">
        <w:t>thermal paper</w:t>
      </w:r>
      <w:r w:rsidR="00E24869">
        <w:t xml:space="preserve"> coatings</w:t>
      </w:r>
      <w:r w:rsidR="005377F1">
        <w:t xml:space="preserve"> and protective linings of food and beverage cans and vats</w:t>
      </w:r>
      <w:r w:rsidR="00005D74">
        <w:t xml:space="preserve">. </w:t>
      </w:r>
      <w:r w:rsidR="006C4EEF">
        <w:t>Where BPA was permitted at the time, operators had to ensure that BPA observe</w:t>
      </w:r>
      <w:r w:rsidR="0097191F">
        <w:t>d</w:t>
      </w:r>
      <w:r w:rsidR="006C4EEF">
        <w:t xml:space="preserve"> the specific migration limit (SML) of 0.05 mg/kg (EFSA, 2021). The SML set in the EU and UK was based on the </w:t>
      </w:r>
      <w:r w:rsidR="005E1956">
        <w:t>European Food Sa</w:t>
      </w:r>
      <w:r w:rsidR="003D1C82">
        <w:t>fe</w:t>
      </w:r>
      <w:r w:rsidR="005E1956">
        <w:t>ty Authority’s (</w:t>
      </w:r>
      <w:r w:rsidR="006C4EEF">
        <w:t>EFSA</w:t>
      </w:r>
      <w:r w:rsidR="005E1956">
        <w:t>)</w:t>
      </w:r>
      <w:r w:rsidR="006C4EEF">
        <w:t xml:space="preserve"> 2015 evaluation of BPA</w:t>
      </w:r>
      <w:r w:rsidR="0011166F">
        <w:t xml:space="preserve"> and a </w:t>
      </w:r>
      <w:r w:rsidR="00A81741">
        <w:t>T</w:t>
      </w:r>
      <w:r w:rsidR="0011166F">
        <w:t xml:space="preserve">emporary </w:t>
      </w:r>
      <w:r w:rsidR="00A81741">
        <w:t>T</w:t>
      </w:r>
      <w:r w:rsidR="00372C14">
        <w:t xml:space="preserve">olerable </w:t>
      </w:r>
      <w:r w:rsidR="00A81741">
        <w:t>D</w:t>
      </w:r>
      <w:r w:rsidR="00372C14">
        <w:t xml:space="preserve">aily </w:t>
      </w:r>
      <w:r w:rsidR="00A81741">
        <w:t>I</w:t>
      </w:r>
      <w:r w:rsidR="00372C14">
        <w:t>ntake</w:t>
      </w:r>
      <w:r w:rsidR="0011166F">
        <w:t xml:space="preserve"> (t</w:t>
      </w:r>
      <w:r w:rsidR="000C18E8">
        <w:t>-</w:t>
      </w:r>
      <w:r w:rsidR="0011166F">
        <w:t xml:space="preserve">TDI) of </w:t>
      </w:r>
      <w:r w:rsidR="0011166F" w:rsidRPr="000C18E8">
        <w:rPr>
          <w:rFonts w:cs="Arial"/>
        </w:rPr>
        <w:t>4 µg/kg body weight (bw) per day</w:t>
      </w:r>
      <w:r w:rsidR="006E6FC0">
        <w:t>.</w:t>
      </w:r>
    </w:p>
    <w:p w14:paraId="39A01BFF" w14:textId="77777777" w:rsidR="00CC0BC4" w:rsidRDefault="00CC0BC4" w:rsidP="00CC0BC4">
      <w:pPr>
        <w:pStyle w:val="ListParagraph"/>
        <w:autoSpaceDE w:val="0"/>
        <w:autoSpaceDN w:val="0"/>
        <w:adjustRightInd w:val="0"/>
        <w:spacing w:line="480" w:lineRule="auto"/>
        <w:ind w:left="0"/>
      </w:pPr>
    </w:p>
    <w:p w14:paraId="3D30086B" w14:textId="4740E1CA" w:rsidR="00CC0BC4" w:rsidRPr="00CC0BC4" w:rsidRDefault="00DF6376" w:rsidP="00B31B67">
      <w:pPr>
        <w:pStyle w:val="ListParagraph"/>
        <w:numPr>
          <w:ilvl w:val="0"/>
          <w:numId w:val="46"/>
        </w:numPr>
        <w:autoSpaceDE w:val="0"/>
        <w:autoSpaceDN w:val="0"/>
        <w:adjustRightInd w:val="0"/>
        <w:spacing w:line="480" w:lineRule="auto"/>
        <w:ind w:left="0" w:hanging="11"/>
      </w:pPr>
      <w:r w:rsidRPr="00CC0BC4">
        <w:rPr>
          <w:rFonts w:cs="Arial"/>
        </w:rPr>
        <w:t>Following a mandate from the European Commission (EC) in 2016 to re-evaluate the risk to public health related to the presence of BPA in foodstuffs</w:t>
      </w:r>
      <w:r w:rsidR="00631E05" w:rsidRPr="00CC0BC4">
        <w:rPr>
          <w:rFonts w:cs="Arial"/>
        </w:rPr>
        <w:t xml:space="preserve">, EFSA </w:t>
      </w:r>
      <w:r w:rsidR="00B36A1C" w:rsidRPr="00CC0BC4">
        <w:rPr>
          <w:rFonts w:cs="Arial"/>
        </w:rPr>
        <w:t xml:space="preserve">established a new TDI of 0.2 ng BPA/kg bw per day in their final </w:t>
      </w:r>
      <w:r w:rsidR="00186FC7">
        <w:rPr>
          <w:rFonts w:cs="Arial"/>
        </w:rPr>
        <w:t>evaluation</w:t>
      </w:r>
      <w:r w:rsidR="00194A85" w:rsidRPr="00CC0BC4">
        <w:rPr>
          <w:rFonts w:cs="Arial"/>
        </w:rPr>
        <w:t xml:space="preserve"> in 2023</w:t>
      </w:r>
      <w:r w:rsidR="00B36A1C" w:rsidRPr="00CC0BC4">
        <w:rPr>
          <w:rFonts w:cs="Arial"/>
        </w:rPr>
        <w:t xml:space="preserve">. Although this final TDI </w:t>
      </w:r>
      <w:r w:rsidR="00BF5B62">
        <w:rPr>
          <w:rFonts w:cs="Arial"/>
        </w:rPr>
        <w:t>wa</w:t>
      </w:r>
      <w:r w:rsidR="00B36A1C" w:rsidRPr="00CC0BC4">
        <w:rPr>
          <w:rFonts w:cs="Arial"/>
        </w:rPr>
        <w:t xml:space="preserve">s higher than the initially proposed level, mean and </w:t>
      </w:r>
      <w:r w:rsidR="00186FC7" w:rsidRPr="00CC0BC4">
        <w:rPr>
          <w:rFonts w:cs="Arial"/>
        </w:rPr>
        <w:t>high</w:t>
      </w:r>
      <w:r w:rsidR="00B6687B">
        <w:rPr>
          <w:rFonts w:cs="Arial"/>
        </w:rPr>
        <w:t xml:space="preserve"> </w:t>
      </w:r>
      <w:r w:rsidR="00186FC7" w:rsidRPr="00CC0BC4">
        <w:rPr>
          <w:rFonts w:cs="Arial"/>
        </w:rPr>
        <w:lastRenderedPageBreak/>
        <w:t>level</w:t>
      </w:r>
      <w:r w:rsidR="00B36A1C" w:rsidRPr="00CC0BC4">
        <w:rPr>
          <w:rFonts w:cs="Arial"/>
        </w:rPr>
        <w:t xml:space="preserve"> consumers </w:t>
      </w:r>
      <w:r w:rsidR="00A81741">
        <w:rPr>
          <w:rFonts w:cs="Arial"/>
        </w:rPr>
        <w:t xml:space="preserve">of </w:t>
      </w:r>
      <w:r w:rsidR="00B36A1C" w:rsidRPr="00CC0BC4">
        <w:rPr>
          <w:rFonts w:cs="Arial"/>
        </w:rPr>
        <w:t>all age groups would exceed the new TDI by 2-3 orders of magnitude.</w:t>
      </w:r>
    </w:p>
    <w:p w14:paraId="76BFC9BC" w14:textId="77777777" w:rsidR="00CC0BC4" w:rsidRDefault="00CC0BC4" w:rsidP="00CC0BC4">
      <w:pPr>
        <w:pStyle w:val="ListParagraph"/>
      </w:pPr>
    </w:p>
    <w:p w14:paraId="5AF6D7F0" w14:textId="7FD00FFF" w:rsidR="00E927F9" w:rsidRPr="00E927F9" w:rsidRDefault="007F0378" w:rsidP="00707BB6">
      <w:pPr>
        <w:pStyle w:val="ListParagraph"/>
        <w:numPr>
          <w:ilvl w:val="0"/>
          <w:numId w:val="46"/>
        </w:numPr>
        <w:autoSpaceDE w:val="0"/>
        <w:autoSpaceDN w:val="0"/>
        <w:adjustRightInd w:val="0"/>
        <w:spacing w:line="480" w:lineRule="auto"/>
        <w:ind w:left="0" w:hanging="11"/>
        <w:rPr>
          <w:b/>
          <w:bCs/>
        </w:rPr>
      </w:pPr>
      <w:r>
        <w:t>In December 2024, the EU</w:t>
      </w:r>
      <w:r w:rsidR="005C4E42">
        <w:t xml:space="preserve"> adopted a ban on the use of BPA in </w:t>
      </w:r>
      <w:r w:rsidR="003B6294">
        <w:t>FCMs</w:t>
      </w:r>
      <w:r w:rsidR="00E8124E">
        <w:t xml:space="preserve">, which took </w:t>
      </w:r>
      <w:r w:rsidR="002822E5">
        <w:t>effect</w:t>
      </w:r>
      <w:r w:rsidR="00E8124E">
        <w:t xml:space="preserve"> in January 2025, with an 18-month phase-out period for industry compliance</w:t>
      </w:r>
      <w:r w:rsidR="005C4E42">
        <w:t>. The ban mean</w:t>
      </w:r>
      <w:r w:rsidR="0030643D">
        <w:t>s</w:t>
      </w:r>
      <w:r w:rsidR="005C4E42">
        <w:t xml:space="preserve"> that BPA </w:t>
      </w:r>
      <w:r w:rsidR="00DC6A03">
        <w:t>w</w:t>
      </w:r>
      <w:r w:rsidR="0030643D">
        <w:t>ill</w:t>
      </w:r>
      <w:r w:rsidR="00DC6A03">
        <w:t xml:space="preserve"> no</w:t>
      </w:r>
      <w:r w:rsidR="00B30AAC">
        <w:t xml:space="preserve"> longer</w:t>
      </w:r>
      <w:r w:rsidR="00DC6A03">
        <w:t xml:space="preserve"> be allowed in products that come into contact with food or drink, e.g. coating of metal cans, reusable plastic bottles, water coolers and other kitchenware. </w:t>
      </w:r>
      <w:r w:rsidR="002955F1">
        <w:t>The EU ban also include</w:t>
      </w:r>
      <w:r w:rsidR="001569E8">
        <w:t>d</w:t>
      </w:r>
      <w:r w:rsidR="002955F1">
        <w:t xml:space="preserve"> </w:t>
      </w:r>
      <w:r w:rsidR="001569E8">
        <w:t>BPA’s</w:t>
      </w:r>
      <w:r w:rsidR="00F879C3" w:rsidRPr="00F879C3">
        <w:t xml:space="preserve"> salts and other bisphenols and bisphenol derivatives</w:t>
      </w:r>
      <w:r w:rsidR="00804A92">
        <w:t xml:space="preserve">, </w:t>
      </w:r>
      <w:r w:rsidR="00F968F0">
        <w:t>as a precautionary principle</w:t>
      </w:r>
      <w:r w:rsidR="00F57DB7">
        <w:t xml:space="preserve">, </w:t>
      </w:r>
      <w:r w:rsidR="0013553F">
        <w:t xml:space="preserve">due to </w:t>
      </w:r>
      <w:r w:rsidR="00804A92">
        <w:t>shared characteristics</w:t>
      </w:r>
      <w:r w:rsidR="000646C5" w:rsidRPr="000646C5">
        <w:t xml:space="preserve"> </w:t>
      </w:r>
      <w:r w:rsidR="000646C5">
        <w:t>with BPA</w:t>
      </w:r>
      <w:r w:rsidR="0013553F">
        <w:t xml:space="preserve">, </w:t>
      </w:r>
      <w:r w:rsidR="00216EBB">
        <w:t>such as</w:t>
      </w:r>
      <w:r w:rsidR="0013553F">
        <w:t xml:space="preserve"> similarities in structure</w:t>
      </w:r>
      <w:r w:rsidR="00216EBB">
        <w:t xml:space="preserve"> and</w:t>
      </w:r>
      <w:r w:rsidR="0013553F">
        <w:t xml:space="preserve"> activity</w:t>
      </w:r>
      <w:r w:rsidR="00216EBB">
        <w:t xml:space="preserve"> </w:t>
      </w:r>
      <w:r w:rsidR="00F93042">
        <w:t>(</w:t>
      </w:r>
      <w:hyperlink r:id="rId25" w:history="1">
        <w:r w:rsidR="000646C5" w:rsidRPr="00FA568C">
          <w:rPr>
            <w:rStyle w:val="Hyperlink"/>
          </w:rPr>
          <w:t xml:space="preserve">EC (No) </w:t>
        </w:r>
        <w:r w:rsidR="00FA568C" w:rsidRPr="00FA568C">
          <w:rPr>
            <w:rStyle w:val="Hyperlink"/>
          </w:rPr>
          <w:t>2024/3190</w:t>
        </w:r>
      </w:hyperlink>
      <w:r w:rsidR="00F93042">
        <w:t>)</w:t>
      </w:r>
      <w:r w:rsidR="0030643D">
        <w:t>.</w:t>
      </w:r>
      <w:r w:rsidR="00843B73">
        <w:t xml:space="preserve"> </w:t>
      </w:r>
      <w:r w:rsidR="00E927F9">
        <w:t>Some bisphenols</w:t>
      </w:r>
      <w:r w:rsidR="00F95885">
        <w:t>, e.g. bisphenol S (BPS),</w:t>
      </w:r>
      <w:r w:rsidR="00E927F9">
        <w:t xml:space="preserve"> have already been </w:t>
      </w:r>
      <w:r w:rsidR="009269D1">
        <w:t>subject to harmonised classification and</w:t>
      </w:r>
      <w:r w:rsidR="006D334B">
        <w:t xml:space="preserve"> have been</w:t>
      </w:r>
      <w:r w:rsidR="009269D1">
        <w:t xml:space="preserve"> listed in </w:t>
      </w:r>
      <w:r w:rsidR="0060092E">
        <w:t xml:space="preserve">Part 3 of Annex VI </w:t>
      </w:r>
      <w:r w:rsidR="009269D1">
        <w:t xml:space="preserve">Regulation (EC) No </w:t>
      </w:r>
      <w:hyperlink r:id="rId26" w:history="1">
        <w:r w:rsidR="009269D1" w:rsidRPr="00007075">
          <w:rPr>
            <w:rStyle w:val="Hyperlink"/>
          </w:rPr>
          <w:t>1272/2008</w:t>
        </w:r>
      </w:hyperlink>
      <w:r w:rsidR="00937E16">
        <w:t xml:space="preserve"> as they have demonstrated hazardous properties to human health</w:t>
      </w:r>
      <w:r w:rsidR="003B1FD7">
        <w:t>, i.e. reproductive toxicity.</w:t>
      </w:r>
    </w:p>
    <w:p w14:paraId="33E9AC99" w14:textId="77777777" w:rsidR="00707BB6" w:rsidRPr="00492088" w:rsidRDefault="00707BB6" w:rsidP="00707BB6">
      <w:pPr>
        <w:pStyle w:val="ListParagraph"/>
        <w:autoSpaceDE w:val="0"/>
        <w:autoSpaceDN w:val="0"/>
        <w:adjustRightInd w:val="0"/>
        <w:spacing w:line="480" w:lineRule="auto"/>
        <w:ind w:left="0"/>
        <w:rPr>
          <w:b/>
          <w:bCs/>
        </w:rPr>
      </w:pPr>
    </w:p>
    <w:p w14:paraId="6DF97D58" w14:textId="09713B56" w:rsidR="0074755E" w:rsidRDefault="008C24A0" w:rsidP="001B1F3A">
      <w:pPr>
        <w:pStyle w:val="Heading1"/>
      </w:pPr>
      <w:r>
        <w:t xml:space="preserve">Evaluations prior to the 2023 </w:t>
      </w:r>
      <w:r w:rsidR="008070F0">
        <w:t xml:space="preserve">EFSA </w:t>
      </w:r>
      <w:r>
        <w:t>Opinion</w:t>
      </w:r>
    </w:p>
    <w:p w14:paraId="475C3372" w14:textId="078FB98E" w:rsidR="008070F0" w:rsidRPr="001B1F3A" w:rsidRDefault="008070F0" w:rsidP="001B1F3A">
      <w:pPr>
        <w:pStyle w:val="Heading2"/>
        <w:rPr>
          <w:i/>
          <w:iCs/>
        </w:rPr>
      </w:pPr>
      <w:r w:rsidRPr="001B1F3A">
        <w:rPr>
          <w:i/>
          <w:iCs/>
        </w:rPr>
        <w:t>E</w:t>
      </w:r>
      <w:r w:rsidR="003949E9" w:rsidRPr="001B1F3A">
        <w:rPr>
          <w:i/>
          <w:iCs/>
        </w:rPr>
        <w:t>FSA</w:t>
      </w:r>
    </w:p>
    <w:p w14:paraId="09379B99" w14:textId="61194549" w:rsidR="001801F2" w:rsidRDefault="00C50C7E" w:rsidP="006D1702">
      <w:pPr>
        <w:pStyle w:val="ListParagraph"/>
        <w:numPr>
          <w:ilvl w:val="0"/>
          <w:numId w:val="46"/>
        </w:numPr>
        <w:autoSpaceDE w:val="0"/>
        <w:autoSpaceDN w:val="0"/>
        <w:adjustRightInd w:val="0"/>
        <w:spacing w:line="480" w:lineRule="auto"/>
        <w:ind w:left="0" w:hanging="11"/>
      </w:pPr>
      <w:r w:rsidRPr="00776A95">
        <w:rPr>
          <w:rFonts w:cs="Arial"/>
        </w:rPr>
        <w:t xml:space="preserve">In 2015, EFSA assessed the risk to </w:t>
      </w:r>
      <w:r w:rsidR="00930D02" w:rsidRPr="00776A95">
        <w:rPr>
          <w:rFonts w:cs="Arial"/>
        </w:rPr>
        <w:t>public</w:t>
      </w:r>
      <w:r w:rsidRPr="00776A95">
        <w:rPr>
          <w:rFonts w:cs="Arial"/>
        </w:rPr>
        <w:t xml:space="preserve"> health from </w:t>
      </w:r>
      <w:r w:rsidR="00930D02" w:rsidRPr="00776A95">
        <w:rPr>
          <w:rFonts w:cs="Arial"/>
        </w:rPr>
        <w:t xml:space="preserve">exposure to </w:t>
      </w:r>
      <w:r w:rsidRPr="00776A95">
        <w:rPr>
          <w:rFonts w:cs="Arial"/>
        </w:rPr>
        <w:t>BPA</w:t>
      </w:r>
      <w:r w:rsidR="00930D02" w:rsidRPr="00776A95">
        <w:rPr>
          <w:rFonts w:cs="Arial"/>
        </w:rPr>
        <w:t xml:space="preserve"> using a weight of evidence (WoE) approach</w:t>
      </w:r>
      <w:r w:rsidR="006C3E3E">
        <w:rPr>
          <w:rFonts w:cs="Arial"/>
        </w:rPr>
        <w:t xml:space="preserve"> </w:t>
      </w:r>
      <w:r w:rsidR="00B13591">
        <w:rPr>
          <w:rFonts w:cs="Arial"/>
        </w:rPr>
        <w:t xml:space="preserve">and considered </w:t>
      </w:r>
      <w:r w:rsidR="00530CE9" w:rsidRPr="00776A95">
        <w:rPr>
          <w:rFonts w:cs="Arial"/>
        </w:rPr>
        <w:t>reproductive and developmental effects, neurological and neurodevelopmental effects, immune effect</w:t>
      </w:r>
      <w:r w:rsidR="00322327">
        <w:rPr>
          <w:rFonts w:cs="Arial"/>
        </w:rPr>
        <w:t>s</w:t>
      </w:r>
      <w:r w:rsidR="00530CE9" w:rsidRPr="00776A95">
        <w:rPr>
          <w:rFonts w:cs="Arial"/>
        </w:rPr>
        <w:t xml:space="preserve"> and cardiovascular and metabolic effects “as likely as not”</w:t>
      </w:r>
      <w:r w:rsidR="00617824">
        <w:rPr>
          <w:rFonts w:cs="Arial"/>
        </w:rPr>
        <w:t xml:space="preserve"> but </w:t>
      </w:r>
      <w:r w:rsidR="00530CE9" w:rsidRPr="00776A95">
        <w:rPr>
          <w:rFonts w:cs="Arial"/>
        </w:rPr>
        <w:t>considered it “unlikely” for BPA to be carcinogenic or mutagenic</w:t>
      </w:r>
      <w:r w:rsidR="00D43256">
        <w:rPr>
          <w:rFonts w:cs="Arial"/>
        </w:rPr>
        <w:t xml:space="preserve">. </w:t>
      </w:r>
      <w:r w:rsidR="009A3805" w:rsidRPr="00776A95">
        <w:rPr>
          <w:rFonts w:cs="Arial"/>
        </w:rPr>
        <w:t xml:space="preserve">Adverse effects </w:t>
      </w:r>
      <w:r w:rsidR="00DE6CF9" w:rsidRPr="00776A95">
        <w:rPr>
          <w:rFonts w:cs="Arial"/>
        </w:rPr>
        <w:t>on the kidney and mammary gland</w:t>
      </w:r>
      <w:r w:rsidR="00617824">
        <w:rPr>
          <w:rFonts w:cs="Arial"/>
        </w:rPr>
        <w:t xml:space="preserve"> </w:t>
      </w:r>
      <w:r w:rsidR="00DE6CF9" w:rsidRPr="00776A95">
        <w:rPr>
          <w:rFonts w:cs="Arial"/>
        </w:rPr>
        <w:t>were considered “</w:t>
      </w:r>
      <w:r w:rsidR="003C16B6" w:rsidRPr="00776A95">
        <w:rPr>
          <w:rFonts w:cs="Arial"/>
        </w:rPr>
        <w:t>l</w:t>
      </w:r>
      <w:r w:rsidR="00DE6CF9" w:rsidRPr="00776A95">
        <w:rPr>
          <w:rFonts w:cs="Arial"/>
        </w:rPr>
        <w:t>ikely</w:t>
      </w:r>
      <w:r w:rsidR="00617824">
        <w:rPr>
          <w:rFonts w:cs="Arial"/>
        </w:rPr>
        <w:t>” and</w:t>
      </w:r>
      <w:r w:rsidR="00D358D7">
        <w:rPr>
          <w:rFonts w:cs="Arial"/>
        </w:rPr>
        <w:t xml:space="preserve"> </w:t>
      </w:r>
      <w:r w:rsidR="00570B29">
        <w:rPr>
          <w:rFonts w:cs="Arial"/>
        </w:rPr>
        <w:t xml:space="preserve">subject to benchmark dose </w:t>
      </w:r>
      <w:r w:rsidR="00F405E0">
        <w:rPr>
          <w:rFonts w:cs="Arial"/>
        </w:rPr>
        <w:t xml:space="preserve">(BMD) </w:t>
      </w:r>
      <w:r w:rsidR="00570B29">
        <w:rPr>
          <w:rFonts w:cs="Arial"/>
        </w:rPr>
        <w:t>modellin</w:t>
      </w:r>
      <w:r w:rsidR="00F405E0">
        <w:rPr>
          <w:rFonts w:cs="Arial"/>
        </w:rPr>
        <w:t xml:space="preserve">g. EFSA </w:t>
      </w:r>
      <w:r w:rsidR="00EF0D45">
        <w:rPr>
          <w:rFonts w:cs="Arial"/>
        </w:rPr>
        <w:t xml:space="preserve">calculated </w:t>
      </w:r>
      <w:r w:rsidR="00D358D7">
        <w:rPr>
          <w:rFonts w:cs="Arial"/>
        </w:rPr>
        <w:t>a</w:t>
      </w:r>
      <w:r w:rsidR="00617824">
        <w:rPr>
          <w:rFonts w:cs="Arial"/>
        </w:rPr>
        <w:t xml:space="preserve"> </w:t>
      </w:r>
      <w:r w:rsidR="007F5349" w:rsidRPr="007F5349">
        <w:rPr>
          <w:rFonts w:cs="Arial"/>
        </w:rPr>
        <w:t xml:space="preserve">lower confidence level of the </w:t>
      </w:r>
      <w:r w:rsidR="00EF0D45">
        <w:rPr>
          <w:rFonts w:cs="Arial"/>
        </w:rPr>
        <w:t>BMD</w:t>
      </w:r>
      <w:r w:rsidR="007F5349" w:rsidRPr="007F5349">
        <w:rPr>
          <w:rFonts w:cs="Arial"/>
        </w:rPr>
        <w:t xml:space="preserve"> </w:t>
      </w:r>
      <w:r w:rsidR="007F5349">
        <w:rPr>
          <w:rFonts w:cs="Arial"/>
        </w:rPr>
        <w:t>(</w:t>
      </w:r>
      <w:r w:rsidR="00776A95" w:rsidRPr="00776A95">
        <w:rPr>
          <w:rFonts w:cs="Arial"/>
        </w:rPr>
        <w:t>BMDL</w:t>
      </w:r>
      <w:r w:rsidR="00776A95" w:rsidRPr="00824CC1">
        <w:rPr>
          <w:rFonts w:cs="Arial"/>
          <w:vertAlign w:val="subscript"/>
        </w:rPr>
        <w:t>10</w:t>
      </w:r>
      <w:r w:rsidR="007F5349">
        <w:rPr>
          <w:rFonts w:cs="Arial"/>
        </w:rPr>
        <w:t>)</w:t>
      </w:r>
      <w:r w:rsidR="00776A95" w:rsidRPr="00776A95">
        <w:rPr>
          <w:rFonts w:cs="Arial"/>
        </w:rPr>
        <w:t xml:space="preserve"> of 8,960 µg/kg bw per day for changes in mean relative kidney weight in a two-generation toxicity study in mice, </w:t>
      </w:r>
      <w:r w:rsidR="00884CF0">
        <w:rPr>
          <w:rFonts w:cs="Arial"/>
        </w:rPr>
        <w:t xml:space="preserve">however </w:t>
      </w:r>
      <w:r w:rsidR="00776A95" w:rsidRPr="00776A95">
        <w:rPr>
          <w:rFonts w:cs="Arial"/>
        </w:rPr>
        <w:t>no BMDL</w:t>
      </w:r>
      <w:r w:rsidR="00824CC1" w:rsidRPr="00824CC1">
        <w:rPr>
          <w:rFonts w:cs="Arial"/>
          <w:vertAlign w:val="subscript"/>
        </w:rPr>
        <w:t>10</w:t>
      </w:r>
      <w:r w:rsidR="00776A95" w:rsidRPr="00776A95">
        <w:rPr>
          <w:rFonts w:cs="Arial"/>
        </w:rPr>
        <w:t xml:space="preserve"> could be calculated for mammary gland </w:t>
      </w:r>
      <w:r w:rsidR="00776A95" w:rsidRPr="00776A95">
        <w:rPr>
          <w:rFonts w:cs="Arial"/>
        </w:rPr>
        <w:lastRenderedPageBreak/>
        <w:t>effects.</w:t>
      </w:r>
      <w:r w:rsidR="003D3FDB">
        <w:t xml:space="preserve"> </w:t>
      </w:r>
      <w:r w:rsidR="00884CF0">
        <w:t xml:space="preserve">Based on the available </w:t>
      </w:r>
      <w:r w:rsidR="00A72B9D">
        <w:t>data on toxicokinetics, the BMDL</w:t>
      </w:r>
      <w:r w:rsidR="00A72B9D" w:rsidRPr="003D3FDB">
        <w:rPr>
          <w:vertAlign w:val="subscript"/>
        </w:rPr>
        <w:t>10</w:t>
      </w:r>
      <w:r w:rsidR="00A72B9D">
        <w:t xml:space="preserve"> was </w:t>
      </w:r>
      <w:r w:rsidR="00884CF0">
        <w:t xml:space="preserve">then </w:t>
      </w:r>
      <w:r w:rsidR="00A72B9D">
        <w:t xml:space="preserve">converted to a </w:t>
      </w:r>
      <w:r w:rsidR="0084142A">
        <w:t>h</w:t>
      </w:r>
      <w:r w:rsidR="00A72B9D">
        <w:t xml:space="preserve">uman </w:t>
      </w:r>
      <w:r w:rsidR="0084142A">
        <w:t>e</w:t>
      </w:r>
      <w:r w:rsidR="00A72B9D">
        <w:t xml:space="preserve">quivalent </w:t>
      </w:r>
      <w:r w:rsidR="0084142A">
        <w:t>d</w:t>
      </w:r>
      <w:r w:rsidR="00A72B9D">
        <w:t xml:space="preserve">ose (HED) of 609 µg/kg bw per day. </w:t>
      </w:r>
      <w:r w:rsidR="00024C4B">
        <w:t>EFSA</w:t>
      </w:r>
      <w:r w:rsidR="00A72B9D">
        <w:t xml:space="preserve"> applied a total uncertainty factor (UF) of 150</w:t>
      </w:r>
      <w:r w:rsidR="00A75DB7">
        <w:t xml:space="preserve"> (2.5 </w:t>
      </w:r>
      <w:r w:rsidR="002B7E5A">
        <w:t xml:space="preserve">for </w:t>
      </w:r>
      <w:r w:rsidR="00A75DB7">
        <w:t>interspecies differences</w:t>
      </w:r>
      <w:r w:rsidR="004E29DF">
        <w:t xml:space="preserve"> (</w:t>
      </w:r>
      <w:r w:rsidR="006F661B">
        <w:t>2.5 for toxicodynamics</w:t>
      </w:r>
      <w:r w:rsidR="00F20212">
        <w:t xml:space="preserve"> and 1 for toxicokinetics</w:t>
      </w:r>
      <w:r w:rsidR="00614779">
        <w:t xml:space="preserve"> </w:t>
      </w:r>
      <w:r w:rsidR="00F20212">
        <w:t>as</w:t>
      </w:r>
      <w:r w:rsidR="006F661B">
        <w:t xml:space="preserve"> </w:t>
      </w:r>
      <w:r w:rsidR="004E29DF">
        <w:t xml:space="preserve">toxicokinetic differences </w:t>
      </w:r>
      <w:r w:rsidR="008A4F8E">
        <w:t>have been addressed in the HED approach)</w:t>
      </w:r>
      <w:r w:rsidR="00A75DB7">
        <w:t xml:space="preserve">,10 for intraspecies differences, and an extra factor of 6 </w:t>
      </w:r>
      <w:r w:rsidR="006F5692">
        <w:t>to account for the uncertainties in the datab</w:t>
      </w:r>
      <w:r w:rsidR="00614779">
        <w:t>ase</w:t>
      </w:r>
      <w:r w:rsidR="003B5EE9">
        <w:t>; 2.5 x 10 x 6</w:t>
      </w:r>
      <w:r w:rsidR="006F5692">
        <w:t xml:space="preserve">) </w:t>
      </w:r>
      <w:r w:rsidR="00345D72">
        <w:t xml:space="preserve">to the HED </w:t>
      </w:r>
      <w:r w:rsidR="00523C12">
        <w:t>to derive a t-TDI of 4 µg/kg bw per day.</w:t>
      </w:r>
    </w:p>
    <w:p w14:paraId="3325FCC8" w14:textId="77777777" w:rsidR="001801F2" w:rsidRDefault="001801F2" w:rsidP="001801F2">
      <w:pPr>
        <w:pStyle w:val="ListParagraph"/>
        <w:autoSpaceDE w:val="0"/>
        <w:autoSpaceDN w:val="0"/>
        <w:adjustRightInd w:val="0"/>
        <w:spacing w:line="480" w:lineRule="auto"/>
        <w:ind w:left="0"/>
      </w:pPr>
    </w:p>
    <w:p w14:paraId="7E074839" w14:textId="77556B03" w:rsidR="00492088" w:rsidRPr="00266CE4" w:rsidRDefault="00A72B9D" w:rsidP="00B31B67">
      <w:pPr>
        <w:pStyle w:val="ListParagraph"/>
        <w:numPr>
          <w:ilvl w:val="0"/>
          <w:numId w:val="46"/>
        </w:numPr>
        <w:autoSpaceDE w:val="0"/>
        <w:autoSpaceDN w:val="0"/>
        <w:adjustRightInd w:val="0"/>
        <w:spacing w:line="480" w:lineRule="auto"/>
        <w:ind w:left="0" w:hanging="11"/>
        <w:rPr>
          <w:rFonts w:cs="Arial"/>
        </w:rPr>
      </w:pPr>
      <w:r>
        <w:t xml:space="preserve"> </w:t>
      </w:r>
      <w:r w:rsidR="001801F2">
        <w:t xml:space="preserve">Based on estimated exposures, EFSA concluded there was no </w:t>
      </w:r>
      <w:r>
        <w:t xml:space="preserve">health concern for any age group from dietary exposure </w:t>
      </w:r>
      <w:r w:rsidR="001801F2">
        <w:t xml:space="preserve">to BPA </w:t>
      </w:r>
      <w:r>
        <w:t xml:space="preserve">and </w:t>
      </w:r>
      <w:r w:rsidR="008F541D">
        <w:t xml:space="preserve">a </w:t>
      </w:r>
      <w:r>
        <w:t>low health concern from aggregated exposure</w:t>
      </w:r>
      <w:r w:rsidR="00344476">
        <w:t xml:space="preserve">, i.e. </w:t>
      </w:r>
      <w:r w:rsidR="00344476" w:rsidRPr="00344476">
        <w:t xml:space="preserve">exposure to </w:t>
      </w:r>
      <w:r w:rsidR="00344476">
        <w:t>BPA</w:t>
      </w:r>
      <w:r w:rsidR="00344476" w:rsidRPr="00344476">
        <w:t xml:space="preserve"> from all sources</w:t>
      </w:r>
      <w:r>
        <w:t xml:space="preserve">. </w:t>
      </w:r>
      <w:r w:rsidR="00784483">
        <w:t xml:space="preserve">EFSA </w:t>
      </w:r>
      <w:r w:rsidR="00C861A2">
        <w:t xml:space="preserve">however </w:t>
      </w:r>
      <w:r w:rsidR="00784483">
        <w:t xml:space="preserve">noted </w:t>
      </w:r>
      <w:r w:rsidR="007F2BA3">
        <w:t xml:space="preserve">there was </w:t>
      </w:r>
      <w:r>
        <w:t>considerable uncertainty in the exposure estimates for non-dietary sources</w:t>
      </w:r>
      <w:r w:rsidR="007F2BA3">
        <w:t>.</w:t>
      </w:r>
    </w:p>
    <w:p w14:paraId="588041B4" w14:textId="63A3597E" w:rsidR="001A2C41" w:rsidRPr="001A2C41" w:rsidRDefault="001A2C41" w:rsidP="001B1F3A">
      <w:pPr>
        <w:pStyle w:val="Heading2"/>
      </w:pPr>
      <w:r w:rsidRPr="001A2C41">
        <w:t>Dutch National Institute for Public Health and the Environment</w:t>
      </w:r>
      <w:r w:rsidR="00B77307">
        <w:t xml:space="preserve"> (RIVM)</w:t>
      </w:r>
    </w:p>
    <w:p w14:paraId="5B5B3BA1" w14:textId="77777777" w:rsidR="001A2C41" w:rsidRPr="001A2C41" w:rsidRDefault="001A2C41" w:rsidP="001A2C41">
      <w:pPr>
        <w:pStyle w:val="ListParagraph"/>
        <w:rPr>
          <w:rFonts w:cs="Arial"/>
        </w:rPr>
      </w:pPr>
    </w:p>
    <w:p w14:paraId="787FD6AA" w14:textId="4B8551FF" w:rsidR="001A2C41" w:rsidRDefault="004F5E89" w:rsidP="00B31B67">
      <w:pPr>
        <w:pStyle w:val="ListParagraph"/>
        <w:numPr>
          <w:ilvl w:val="0"/>
          <w:numId w:val="46"/>
        </w:numPr>
        <w:autoSpaceDE w:val="0"/>
        <w:autoSpaceDN w:val="0"/>
        <w:adjustRightInd w:val="0"/>
        <w:spacing w:line="480" w:lineRule="auto"/>
        <w:ind w:left="0" w:hanging="11"/>
        <w:rPr>
          <w:rFonts w:cs="Arial"/>
        </w:rPr>
      </w:pPr>
      <w:r>
        <w:rPr>
          <w:rFonts w:cs="Arial"/>
        </w:rPr>
        <w:t xml:space="preserve">In </w:t>
      </w:r>
      <w:r w:rsidR="00592B83">
        <w:rPr>
          <w:rFonts w:cs="Arial"/>
        </w:rPr>
        <w:t>2</w:t>
      </w:r>
      <w:r w:rsidR="002003FC">
        <w:rPr>
          <w:rFonts w:cs="Arial"/>
        </w:rPr>
        <w:t>0</w:t>
      </w:r>
      <w:r w:rsidR="00592B83">
        <w:rPr>
          <w:rFonts w:cs="Arial"/>
        </w:rPr>
        <w:t>14</w:t>
      </w:r>
      <w:r w:rsidR="002003FC">
        <w:rPr>
          <w:rFonts w:cs="Arial"/>
        </w:rPr>
        <w:t>,</w:t>
      </w:r>
      <w:r w:rsidR="00592B83">
        <w:rPr>
          <w:rFonts w:cs="Arial"/>
        </w:rPr>
        <w:t xml:space="preserve"> the </w:t>
      </w:r>
      <w:r w:rsidR="00592B83" w:rsidRPr="00592B83">
        <w:rPr>
          <w:rFonts w:cs="Arial"/>
        </w:rPr>
        <w:t>Dutch National Institute for Public Health and the Environment</w:t>
      </w:r>
      <w:r w:rsidR="00592B83">
        <w:rPr>
          <w:rFonts w:cs="Arial"/>
        </w:rPr>
        <w:t xml:space="preserve"> (RIVM) published a report, providing an overview of the current state of knowledge on BPA (</w:t>
      </w:r>
      <w:hyperlink r:id="rId27" w:history="1">
        <w:r w:rsidR="00592B83" w:rsidRPr="002003FC">
          <w:rPr>
            <w:rStyle w:val="Hyperlink"/>
            <w:rFonts w:cs="Arial"/>
          </w:rPr>
          <w:t>Part 1</w:t>
        </w:r>
      </w:hyperlink>
      <w:r w:rsidR="00592B83">
        <w:rPr>
          <w:rFonts w:cs="Arial"/>
        </w:rPr>
        <w:t xml:space="preserve">). </w:t>
      </w:r>
    </w:p>
    <w:p w14:paraId="51447A42" w14:textId="77777777" w:rsidR="002003FC" w:rsidRDefault="002003FC" w:rsidP="002003FC">
      <w:pPr>
        <w:pStyle w:val="ListParagraph"/>
        <w:autoSpaceDE w:val="0"/>
        <w:autoSpaceDN w:val="0"/>
        <w:adjustRightInd w:val="0"/>
        <w:spacing w:line="480" w:lineRule="auto"/>
        <w:ind w:left="0"/>
        <w:rPr>
          <w:rFonts w:cs="Arial"/>
        </w:rPr>
      </w:pPr>
    </w:p>
    <w:p w14:paraId="4854584D" w14:textId="07C77B51" w:rsidR="0020157F" w:rsidRDefault="002003FC" w:rsidP="0020157F">
      <w:pPr>
        <w:pStyle w:val="ListParagraph"/>
        <w:numPr>
          <w:ilvl w:val="0"/>
          <w:numId w:val="46"/>
        </w:numPr>
        <w:autoSpaceDE w:val="0"/>
        <w:autoSpaceDN w:val="0"/>
        <w:adjustRightInd w:val="0"/>
        <w:spacing w:line="480" w:lineRule="auto"/>
        <w:ind w:left="0" w:hanging="11"/>
        <w:rPr>
          <w:rFonts w:cs="Arial"/>
        </w:rPr>
      </w:pPr>
      <w:r>
        <w:rPr>
          <w:rFonts w:cs="Arial"/>
        </w:rPr>
        <w:t xml:space="preserve">In 2016, the RIVM published </w:t>
      </w:r>
      <w:r w:rsidR="00B226E1">
        <w:rPr>
          <w:rFonts w:cs="Arial"/>
        </w:rPr>
        <w:t>recommendations for risk management (</w:t>
      </w:r>
      <w:hyperlink r:id="rId28" w:history="1">
        <w:r w:rsidR="00B226E1" w:rsidRPr="0026334F">
          <w:rPr>
            <w:rStyle w:val="Hyperlink"/>
            <w:rFonts w:cs="Arial"/>
          </w:rPr>
          <w:t>Part 2</w:t>
        </w:r>
      </w:hyperlink>
      <w:r w:rsidR="00B226E1">
        <w:rPr>
          <w:rFonts w:cs="Arial"/>
        </w:rPr>
        <w:t>)</w:t>
      </w:r>
      <w:r w:rsidR="00416A05">
        <w:rPr>
          <w:rFonts w:cs="Arial"/>
        </w:rPr>
        <w:t xml:space="preserve"> evaluating the scientific knowledge and </w:t>
      </w:r>
      <w:r w:rsidR="00DB63D3">
        <w:rPr>
          <w:rFonts w:cs="Arial"/>
        </w:rPr>
        <w:t>assessing</w:t>
      </w:r>
      <w:r w:rsidR="00416A05">
        <w:rPr>
          <w:rFonts w:cs="Arial"/>
        </w:rPr>
        <w:t xml:space="preserve"> possible health risks. </w:t>
      </w:r>
      <w:r w:rsidR="00C665CC">
        <w:rPr>
          <w:rFonts w:cs="Arial"/>
        </w:rPr>
        <w:t>The RIVM concluded that b</w:t>
      </w:r>
      <w:r w:rsidR="00482D80">
        <w:rPr>
          <w:rFonts w:cs="Arial"/>
        </w:rPr>
        <w:t xml:space="preserve">ased on the current health hazard and information on exposure there was no health concern </w:t>
      </w:r>
      <w:r w:rsidR="00E17C9B">
        <w:rPr>
          <w:rFonts w:cs="Arial"/>
        </w:rPr>
        <w:t>for BPA at the levels of dietary exposure estimated by EFSA in 2015</w:t>
      </w:r>
      <w:r w:rsidR="00FB13BC">
        <w:rPr>
          <w:rFonts w:cs="Arial"/>
        </w:rPr>
        <w:t xml:space="preserve"> and</w:t>
      </w:r>
      <w:r w:rsidR="00D55CB0">
        <w:rPr>
          <w:rFonts w:cs="Arial"/>
        </w:rPr>
        <w:t xml:space="preserve"> </w:t>
      </w:r>
      <w:r w:rsidR="00FB13BC">
        <w:rPr>
          <w:rFonts w:cs="Arial"/>
        </w:rPr>
        <w:t>low concern on aggregate exposure. A risk among neonates in intensive care units</w:t>
      </w:r>
      <w:r w:rsidR="000A0508">
        <w:rPr>
          <w:rFonts w:cs="Arial"/>
        </w:rPr>
        <w:t xml:space="preserve"> and</w:t>
      </w:r>
      <w:r w:rsidR="0065030B">
        <w:rPr>
          <w:rFonts w:cs="Arial"/>
        </w:rPr>
        <w:t xml:space="preserve"> </w:t>
      </w:r>
      <w:r w:rsidR="00255C27">
        <w:rPr>
          <w:rFonts w:cs="Arial"/>
        </w:rPr>
        <w:t>foetuses</w:t>
      </w:r>
      <w:r w:rsidR="00E14CB6">
        <w:rPr>
          <w:rFonts w:cs="Arial"/>
        </w:rPr>
        <w:t xml:space="preserve"> of pregnant workers through dermal exposure </w:t>
      </w:r>
      <w:r w:rsidR="000A0508">
        <w:rPr>
          <w:rFonts w:cs="Arial"/>
        </w:rPr>
        <w:t>could not be excluded</w:t>
      </w:r>
      <w:r w:rsidR="0067774D">
        <w:rPr>
          <w:rFonts w:cs="Arial"/>
        </w:rPr>
        <w:t>.</w:t>
      </w:r>
      <w:r w:rsidR="000A0508">
        <w:rPr>
          <w:rFonts w:cs="Arial"/>
        </w:rPr>
        <w:t xml:space="preserve"> </w:t>
      </w:r>
      <w:r w:rsidR="00D915FD">
        <w:rPr>
          <w:rFonts w:cs="Arial"/>
        </w:rPr>
        <w:t>In addition</w:t>
      </w:r>
      <w:r w:rsidR="0067774D">
        <w:rPr>
          <w:rFonts w:cs="Arial"/>
        </w:rPr>
        <w:t>,</w:t>
      </w:r>
      <w:r w:rsidR="00D915FD">
        <w:rPr>
          <w:rFonts w:cs="Arial"/>
        </w:rPr>
        <w:t xml:space="preserve"> a risk among </w:t>
      </w:r>
      <w:r w:rsidR="00E14CB6">
        <w:rPr>
          <w:rFonts w:cs="Arial"/>
        </w:rPr>
        <w:t>general</w:t>
      </w:r>
      <w:r w:rsidR="0065030B">
        <w:rPr>
          <w:rFonts w:cs="Arial"/>
        </w:rPr>
        <w:t xml:space="preserve"> workers involved with BPA </w:t>
      </w:r>
      <w:r w:rsidR="0065030B">
        <w:rPr>
          <w:rFonts w:cs="Arial"/>
        </w:rPr>
        <w:lastRenderedPageBreak/>
        <w:t>manufacture as well as skin sensitisation of workers in industry processes working with BPA</w:t>
      </w:r>
      <w:r w:rsidR="00E14CB6">
        <w:rPr>
          <w:rFonts w:cs="Arial"/>
        </w:rPr>
        <w:t xml:space="preserve"> could not be excluded.</w:t>
      </w:r>
    </w:p>
    <w:p w14:paraId="66CC5DD5" w14:textId="77777777" w:rsidR="0020157F" w:rsidRPr="0020157F" w:rsidRDefault="0020157F" w:rsidP="0020157F">
      <w:pPr>
        <w:pStyle w:val="ListParagraph"/>
        <w:rPr>
          <w:rFonts w:cs="Arial"/>
        </w:rPr>
      </w:pPr>
    </w:p>
    <w:p w14:paraId="36A89229" w14:textId="3EAD4ADE" w:rsidR="005E0AEF" w:rsidRDefault="009124D4" w:rsidP="005E0AEF">
      <w:pPr>
        <w:pStyle w:val="ListParagraph"/>
        <w:numPr>
          <w:ilvl w:val="0"/>
          <w:numId w:val="46"/>
        </w:numPr>
        <w:autoSpaceDE w:val="0"/>
        <w:autoSpaceDN w:val="0"/>
        <w:adjustRightInd w:val="0"/>
        <w:spacing w:line="480" w:lineRule="auto"/>
        <w:ind w:left="0" w:hanging="11"/>
        <w:rPr>
          <w:rFonts w:cs="Arial"/>
        </w:rPr>
      </w:pPr>
      <w:r>
        <w:rPr>
          <w:rFonts w:cs="Arial"/>
        </w:rPr>
        <w:t xml:space="preserve">The </w:t>
      </w:r>
      <w:r w:rsidR="0020157F" w:rsidRPr="0020157F">
        <w:rPr>
          <w:rFonts w:cs="Arial"/>
        </w:rPr>
        <w:t>RIVM also considered immunological data published by Menard et al. (2014</w:t>
      </w:r>
      <w:r w:rsidR="00F144EA">
        <w:rPr>
          <w:rFonts w:cs="Arial"/>
        </w:rPr>
        <w:t>a, b</w:t>
      </w:r>
      <w:r w:rsidR="0020157F" w:rsidRPr="0020157F">
        <w:rPr>
          <w:rFonts w:cs="Arial"/>
        </w:rPr>
        <w:t xml:space="preserve">) which suggested that BPA </w:t>
      </w:r>
      <w:r w:rsidR="00440EFD">
        <w:rPr>
          <w:rFonts w:cs="Arial"/>
        </w:rPr>
        <w:t>could</w:t>
      </w:r>
      <w:r w:rsidR="0020157F" w:rsidRPr="0020157F">
        <w:rPr>
          <w:rFonts w:cs="Arial"/>
        </w:rPr>
        <w:t xml:space="preserve"> lead to the development of food allergies and have adverse effects on resistance to infections at </w:t>
      </w:r>
      <w:r w:rsidR="00F0568E">
        <w:rPr>
          <w:rFonts w:cs="Arial"/>
        </w:rPr>
        <w:t xml:space="preserve">exposures </w:t>
      </w:r>
      <w:r w:rsidR="0020157F" w:rsidRPr="0020157F">
        <w:rPr>
          <w:rFonts w:cs="Arial"/>
        </w:rPr>
        <w:t xml:space="preserve">lower than </w:t>
      </w:r>
      <w:r w:rsidR="004B3300">
        <w:rPr>
          <w:rFonts w:cs="Arial"/>
        </w:rPr>
        <w:t>the</w:t>
      </w:r>
      <w:r w:rsidR="0020157F" w:rsidRPr="0020157F">
        <w:rPr>
          <w:rFonts w:cs="Arial"/>
        </w:rPr>
        <w:t xml:space="preserve"> current European standards</w:t>
      </w:r>
      <w:r w:rsidR="004B3300">
        <w:rPr>
          <w:rFonts w:cs="Arial"/>
        </w:rPr>
        <w:t xml:space="preserve">, i.e. </w:t>
      </w:r>
      <w:r w:rsidR="004B3300" w:rsidRPr="004B3300">
        <w:rPr>
          <w:rFonts w:cs="Arial"/>
        </w:rPr>
        <w:t xml:space="preserve">the </w:t>
      </w:r>
      <w:r w:rsidR="00DC2054">
        <w:rPr>
          <w:rFonts w:cs="Arial"/>
        </w:rPr>
        <w:t>occupational exposure limit</w:t>
      </w:r>
      <w:r w:rsidR="00BC38AE">
        <w:rPr>
          <w:rFonts w:cs="Arial"/>
        </w:rPr>
        <w:t xml:space="preserve"> (</w:t>
      </w:r>
      <w:r w:rsidR="004B3300" w:rsidRPr="004B3300">
        <w:rPr>
          <w:rFonts w:cs="Arial"/>
        </w:rPr>
        <w:t>OEL</w:t>
      </w:r>
      <w:r w:rsidR="00BC38AE">
        <w:rPr>
          <w:rFonts w:cs="Arial"/>
        </w:rPr>
        <w:t>)</w:t>
      </w:r>
      <w:r w:rsidR="004B3300" w:rsidRPr="004B3300">
        <w:rPr>
          <w:rFonts w:cs="Arial"/>
        </w:rPr>
        <w:t xml:space="preserve">, t-TDI and dermal </w:t>
      </w:r>
      <w:r w:rsidR="00BC38AE">
        <w:rPr>
          <w:rFonts w:cs="Arial"/>
        </w:rPr>
        <w:t>derived no effect level (</w:t>
      </w:r>
      <w:r w:rsidR="004B3300" w:rsidRPr="004B3300">
        <w:rPr>
          <w:rFonts w:cs="Arial"/>
        </w:rPr>
        <w:t>DNEL</w:t>
      </w:r>
      <w:r w:rsidR="00BC38AE">
        <w:rPr>
          <w:rFonts w:cs="Arial"/>
        </w:rPr>
        <w:t>)</w:t>
      </w:r>
      <w:r w:rsidR="0020157F" w:rsidRPr="0020157F">
        <w:rPr>
          <w:rFonts w:cs="Arial"/>
        </w:rPr>
        <w:t>. Neonates, infants and young children appear</w:t>
      </w:r>
      <w:r>
        <w:rPr>
          <w:rFonts w:cs="Arial"/>
        </w:rPr>
        <w:t>ed</w:t>
      </w:r>
      <w:r w:rsidR="0020157F" w:rsidRPr="0020157F">
        <w:rPr>
          <w:rFonts w:cs="Arial"/>
        </w:rPr>
        <w:t xml:space="preserve"> to be more suscepti</w:t>
      </w:r>
      <w:r w:rsidR="00A34F76">
        <w:rPr>
          <w:rFonts w:cs="Arial"/>
        </w:rPr>
        <w:t>ble</w:t>
      </w:r>
      <w:r w:rsidR="0020157F" w:rsidRPr="0020157F">
        <w:rPr>
          <w:rFonts w:cs="Arial"/>
        </w:rPr>
        <w:t>. Following the same approach as EFSA in 2015 to derive a t</w:t>
      </w:r>
      <w:r w:rsidR="00DE407B">
        <w:rPr>
          <w:rFonts w:cs="Arial"/>
        </w:rPr>
        <w:t>-</w:t>
      </w:r>
      <w:r w:rsidR="0020157F" w:rsidRPr="0020157F">
        <w:rPr>
          <w:rFonts w:cs="Arial"/>
        </w:rPr>
        <w:t xml:space="preserve">TDI, the RIVM </w:t>
      </w:r>
      <w:r w:rsidR="00AA3FCC">
        <w:rPr>
          <w:rFonts w:cs="Arial"/>
        </w:rPr>
        <w:t>highlighted</w:t>
      </w:r>
      <w:r w:rsidR="0020157F" w:rsidRPr="0020157F">
        <w:rPr>
          <w:rFonts w:cs="Arial"/>
        </w:rPr>
        <w:t xml:space="preserve"> that the effects were observed in animals at a HED potentially a factor of 10 lower than the HED </w:t>
      </w:r>
      <w:r w:rsidR="00A34F76">
        <w:rPr>
          <w:rFonts w:cs="Arial"/>
        </w:rPr>
        <w:t xml:space="preserve">on </w:t>
      </w:r>
      <w:r w:rsidR="0020157F" w:rsidRPr="0020157F">
        <w:rPr>
          <w:rFonts w:cs="Arial"/>
        </w:rPr>
        <w:t>which EFSA based its t</w:t>
      </w:r>
      <w:r w:rsidR="00DE407B">
        <w:rPr>
          <w:rFonts w:cs="Arial"/>
        </w:rPr>
        <w:t>-</w:t>
      </w:r>
      <w:r w:rsidR="0020157F" w:rsidRPr="0020157F">
        <w:rPr>
          <w:rFonts w:cs="Arial"/>
        </w:rPr>
        <w:t xml:space="preserve">TDI on. The RIVM </w:t>
      </w:r>
      <w:r w:rsidR="00AA3FCC">
        <w:rPr>
          <w:rFonts w:cs="Arial"/>
        </w:rPr>
        <w:t>therefore concluded</w:t>
      </w:r>
      <w:r w:rsidR="0020157F" w:rsidRPr="0020157F">
        <w:rPr>
          <w:rFonts w:cs="Arial"/>
        </w:rPr>
        <w:t xml:space="preserve"> that the new study warranted reconsideration of the current standards and recommended that the Dutch Government file a request to EFSA to revisit the </w:t>
      </w:r>
      <w:r w:rsidR="002928D2">
        <w:rPr>
          <w:rFonts w:cs="Arial"/>
        </w:rPr>
        <w:t>t-</w:t>
      </w:r>
      <w:r w:rsidR="0020157F" w:rsidRPr="0020157F">
        <w:rPr>
          <w:rFonts w:cs="Arial"/>
        </w:rPr>
        <w:t xml:space="preserve">TDI, to the </w:t>
      </w:r>
      <w:r w:rsidR="00472983">
        <w:rPr>
          <w:rFonts w:cs="Arial"/>
        </w:rPr>
        <w:t>EC</w:t>
      </w:r>
      <w:r w:rsidR="0020157F" w:rsidRPr="0020157F">
        <w:rPr>
          <w:rFonts w:cs="Arial"/>
        </w:rPr>
        <w:t xml:space="preserve"> to revisit the </w:t>
      </w:r>
      <w:r w:rsidR="00F73865">
        <w:rPr>
          <w:rFonts w:cs="Arial"/>
        </w:rPr>
        <w:t>occupational exposure limit (</w:t>
      </w:r>
      <w:r w:rsidR="0020157F" w:rsidRPr="0020157F">
        <w:rPr>
          <w:rFonts w:cs="Arial"/>
        </w:rPr>
        <w:t>OEL</w:t>
      </w:r>
      <w:r w:rsidR="00F73865">
        <w:rPr>
          <w:rFonts w:cs="Arial"/>
        </w:rPr>
        <w:t>)</w:t>
      </w:r>
      <w:r w:rsidR="0020157F" w:rsidRPr="0020157F">
        <w:rPr>
          <w:rFonts w:cs="Arial"/>
        </w:rPr>
        <w:t xml:space="preserve"> and </w:t>
      </w:r>
      <w:r w:rsidR="00D51303">
        <w:rPr>
          <w:rFonts w:cs="Arial"/>
        </w:rPr>
        <w:t xml:space="preserve">the derived no effect levels (DNELs) and </w:t>
      </w:r>
      <w:r w:rsidR="0020157F" w:rsidRPr="0020157F">
        <w:rPr>
          <w:rFonts w:cs="Arial"/>
        </w:rPr>
        <w:t xml:space="preserve">to </w:t>
      </w:r>
      <w:r w:rsidR="003520F0">
        <w:rPr>
          <w:rFonts w:cs="Arial"/>
        </w:rPr>
        <w:t xml:space="preserve">the </w:t>
      </w:r>
      <w:r w:rsidR="003520F0" w:rsidRPr="003520F0">
        <w:rPr>
          <w:rFonts w:cs="Arial"/>
        </w:rPr>
        <w:t xml:space="preserve">European Chemicals Agency </w:t>
      </w:r>
      <w:r w:rsidR="003520F0">
        <w:rPr>
          <w:rFonts w:cs="Arial"/>
        </w:rPr>
        <w:t>(</w:t>
      </w:r>
      <w:r w:rsidR="0020157F" w:rsidRPr="0020157F">
        <w:rPr>
          <w:rFonts w:cs="Arial"/>
        </w:rPr>
        <w:t>ECHA</w:t>
      </w:r>
      <w:r w:rsidR="003520F0">
        <w:rPr>
          <w:rFonts w:cs="Arial"/>
        </w:rPr>
        <w:t>)</w:t>
      </w:r>
      <w:r w:rsidR="0020157F" w:rsidRPr="0020157F">
        <w:rPr>
          <w:rFonts w:cs="Arial"/>
        </w:rPr>
        <w:t xml:space="preserve"> to re-open the evaluation of the health hazard of BPA. </w:t>
      </w:r>
    </w:p>
    <w:p w14:paraId="7BFC0A4E" w14:textId="77777777" w:rsidR="005E0AEF" w:rsidRPr="005E0AEF" w:rsidRDefault="005E0AEF" w:rsidP="005E0AEF">
      <w:pPr>
        <w:pStyle w:val="ListParagraph"/>
        <w:rPr>
          <w:rFonts w:cs="Arial"/>
        </w:rPr>
      </w:pPr>
    </w:p>
    <w:p w14:paraId="55DA21EE" w14:textId="3C64B2B1" w:rsidR="0020157F" w:rsidRPr="00620340" w:rsidRDefault="005E0AEF" w:rsidP="00620340">
      <w:pPr>
        <w:pStyle w:val="ListParagraph"/>
        <w:numPr>
          <w:ilvl w:val="0"/>
          <w:numId w:val="46"/>
        </w:numPr>
        <w:autoSpaceDE w:val="0"/>
        <w:autoSpaceDN w:val="0"/>
        <w:adjustRightInd w:val="0"/>
        <w:spacing w:line="480" w:lineRule="auto"/>
        <w:ind w:left="0" w:hanging="11"/>
        <w:rPr>
          <w:rFonts w:cs="Arial"/>
        </w:rPr>
      </w:pPr>
      <w:r>
        <w:rPr>
          <w:rFonts w:cs="Arial"/>
        </w:rPr>
        <w:t xml:space="preserve">The </w:t>
      </w:r>
      <w:r w:rsidR="00656296">
        <w:rPr>
          <w:rFonts w:cs="Arial"/>
        </w:rPr>
        <w:t>RIVM considered that the risk may be reduced</w:t>
      </w:r>
      <w:r w:rsidR="0020157F" w:rsidRPr="005E0AEF">
        <w:rPr>
          <w:rFonts w:cs="Arial"/>
        </w:rPr>
        <w:t xml:space="preserve"> through substitution </w:t>
      </w:r>
      <w:r w:rsidR="00656296">
        <w:rPr>
          <w:rFonts w:cs="Arial"/>
        </w:rPr>
        <w:t xml:space="preserve">of BPA </w:t>
      </w:r>
      <w:r w:rsidR="0020157F" w:rsidRPr="005E0AEF">
        <w:rPr>
          <w:rFonts w:cs="Arial"/>
        </w:rPr>
        <w:t xml:space="preserve">with alternatives and </w:t>
      </w:r>
      <w:r w:rsidR="00656296">
        <w:rPr>
          <w:rFonts w:cs="Arial"/>
        </w:rPr>
        <w:t>included</w:t>
      </w:r>
      <w:r w:rsidR="0020157F" w:rsidRPr="005E0AEF">
        <w:rPr>
          <w:rFonts w:cs="Arial"/>
        </w:rPr>
        <w:t xml:space="preserve"> a number of alternatives in its report</w:t>
      </w:r>
      <w:r w:rsidR="00620340">
        <w:rPr>
          <w:rFonts w:cs="Arial"/>
        </w:rPr>
        <w:t>. They did however acknowledge</w:t>
      </w:r>
      <w:r w:rsidR="0020157F" w:rsidRPr="005E0AEF">
        <w:rPr>
          <w:rFonts w:cs="Arial"/>
        </w:rPr>
        <w:t xml:space="preserve"> that for most of these</w:t>
      </w:r>
      <w:r w:rsidR="00C90091">
        <w:rPr>
          <w:rFonts w:cs="Arial"/>
        </w:rPr>
        <w:t xml:space="preserve"> alternatives</w:t>
      </w:r>
      <w:r w:rsidR="0020157F" w:rsidRPr="005E0AEF">
        <w:rPr>
          <w:rFonts w:cs="Arial"/>
        </w:rPr>
        <w:t xml:space="preserve">, toxicological characterisation </w:t>
      </w:r>
      <w:r w:rsidR="00620340">
        <w:rPr>
          <w:rFonts w:cs="Arial"/>
        </w:rPr>
        <w:t>wa</w:t>
      </w:r>
      <w:r w:rsidR="0020157F" w:rsidRPr="005E0AEF">
        <w:rPr>
          <w:rFonts w:cs="Arial"/>
        </w:rPr>
        <w:t>s lacking</w:t>
      </w:r>
      <w:r w:rsidR="00620340">
        <w:rPr>
          <w:rFonts w:cs="Arial"/>
        </w:rPr>
        <w:t>.</w:t>
      </w:r>
    </w:p>
    <w:p w14:paraId="43C87F4B" w14:textId="77777777" w:rsidR="00351D03" w:rsidRPr="007F2BA3" w:rsidRDefault="00351D03" w:rsidP="007F2BA3">
      <w:pPr>
        <w:pStyle w:val="ListParagraph"/>
        <w:autoSpaceDE w:val="0"/>
        <w:autoSpaceDN w:val="0"/>
        <w:adjustRightInd w:val="0"/>
        <w:spacing w:line="480" w:lineRule="auto"/>
        <w:ind w:left="0"/>
        <w:rPr>
          <w:rFonts w:cs="Arial"/>
        </w:rPr>
      </w:pPr>
    </w:p>
    <w:p w14:paraId="607B72C8" w14:textId="1737C52E" w:rsidR="006D1702" w:rsidRDefault="006D2D8F" w:rsidP="001B1F3A">
      <w:pPr>
        <w:pStyle w:val="Heading2"/>
      </w:pPr>
      <w:r>
        <w:t xml:space="preserve">Opinion of the EFSA </w:t>
      </w:r>
      <w:r w:rsidRPr="006D2D8F">
        <w:t>Panel on Food Contact Materials, Enzymes and Processing Aids (CEP)</w:t>
      </w:r>
      <w:r>
        <w:t>,</w:t>
      </w:r>
      <w:r w:rsidRPr="006D2D8F">
        <w:t xml:space="preserve"> </w:t>
      </w:r>
      <w:r w:rsidR="006D1702" w:rsidRPr="00693108">
        <w:t xml:space="preserve">2023 </w:t>
      </w:r>
    </w:p>
    <w:p w14:paraId="3FCD2CCA" w14:textId="77777777" w:rsidR="00C22F7A" w:rsidRPr="00C22F7A" w:rsidRDefault="00C22F7A" w:rsidP="00C22F7A"/>
    <w:p w14:paraId="3EB0C963" w14:textId="5B24F3B1" w:rsidR="00CA2E03" w:rsidRDefault="00B10DD3" w:rsidP="00B31B67">
      <w:pPr>
        <w:pStyle w:val="ListParagraph"/>
        <w:numPr>
          <w:ilvl w:val="0"/>
          <w:numId w:val="46"/>
        </w:numPr>
        <w:autoSpaceDE w:val="0"/>
        <w:autoSpaceDN w:val="0"/>
        <w:adjustRightInd w:val="0"/>
        <w:spacing w:line="480" w:lineRule="auto"/>
        <w:ind w:left="0" w:hanging="11"/>
        <w:rPr>
          <w:rFonts w:cs="Arial"/>
        </w:rPr>
      </w:pPr>
      <w:r w:rsidRPr="00CA2E03">
        <w:rPr>
          <w:rFonts w:cs="Arial"/>
        </w:rPr>
        <w:lastRenderedPageBreak/>
        <w:t xml:space="preserve">In 2016, </w:t>
      </w:r>
      <w:r w:rsidR="002877FD" w:rsidRPr="00CA2E03">
        <w:rPr>
          <w:rFonts w:cs="Arial"/>
        </w:rPr>
        <w:t>the EC mandated EFSA</w:t>
      </w:r>
      <w:r w:rsidRPr="00CA2E03">
        <w:rPr>
          <w:rFonts w:cs="Arial"/>
        </w:rPr>
        <w:t xml:space="preserve"> to re-evaluate the risk to public health related to the presence of BPA in foodstuffs</w:t>
      </w:r>
      <w:r w:rsidR="00A91AAB" w:rsidRPr="00CA2E03">
        <w:rPr>
          <w:rFonts w:cs="Arial"/>
        </w:rPr>
        <w:t xml:space="preserve"> and establish a TDI. </w:t>
      </w:r>
      <w:r w:rsidR="006D1702">
        <w:t xml:space="preserve">For </w:t>
      </w:r>
      <w:r w:rsidR="00AD0160">
        <w:t xml:space="preserve">the derivation of </w:t>
      </w:r>
      <w:r w:rsidR="00AF6613" w:rsidRPr="00CA2E03">
        <w:rPr>
          <w:rFonts w:cs="Arial"/>
        </w:rPr>
        <w:t>their new TDI, t</w:t>
      </w:r>
      <w:r w:rsidR="00A8423D" w:rsidRPr="00CA2E03">
        <w:rPr>
          <w:rFonts w:cs="Arial"/>
        </w:rPr>
        <w:t>he EFSA Panel on Food Contact Materials, Enzymes and Processing Aids (CE</w:t>
      </w:r>
      <w:r w:rsidR="218967FE" w:rsidRPr="00CA2E03">
        <w:rPr>
          <w:rFonts w:cs="Arial"/>
        </w:rPr>
        <w:t>P</w:t>
      </w:r>
      <w:r w:rsidR="00A8423D" w:rsidRPr="00CA2E03">
        <w:rPr>
          <w:rFonts w:cs="Arial"/>
        </w:rPr>
        <w:t xml:space="preserve">) </w:t>
      </w:r>
      <w:r w:rsidR="00E42DA2" w:rsidRPr="00CA2E03">
        <w:rPr>
          <w:rFonts w:cs="Arial"/>
        </w:rPr>
        <w:t xml:space="preserve">assessed </w:t>
      </w:r>
      <w:r w:rsidR="0061780D" w:rsidRPr="00CA2E03">
        <w:rPr>
          <w:rFonts w:cs="Arial"/>
        </w:rPr>
        <w:t xml:space="preserve">the </w:t>
      </w:r>
      <w:r w:rsidR="00933326" w:rsidRPr="00CA2E03">
        <w:rPr>
          <w:rFonts w:cs="Arial"/>
        </w:rPr>
        <w:t xml:space="preserve">evidence from animal </w:t>
      </w:r>
      <w:r w:rsidR="00E42DA2" w:rsidRPr="00CA2E03">
        <w:rPr>
          <w:rFonts w:cs="Arial"/>
        </w:rPr>
        <w:t>data and human observational studies</w:t>
      </w:r>
      <w:r w:rsidR="000A6DB3" w:rsidRPr="00CA2E03">
        <w:rPr>
          <w:rFonts w:cs="Arial"/>
        </w:rPr>
        <w:t>, following a pre-established protocol</w:t>
      </w:r>
      <w:r w:rsidR="00E35421">
        <w:rPr>
          <w:rFonts w:cs="Arial"/>
        </w:rPr>
        <w:t>,</w:t>
      </w:r>
      <w:r w:rsidR="000A6DB3" w:rsidRPr="00CA2E03">
        <w:rPr>
          <w:rFonts w:cs="Arial"/>
        </w:rPr>
        <w:t xml:space="preserve"> and any new evidence since their last evaluation in 2015.</w:t>
      </w:r>
      <w:r w:rsidR="00E26C94" w:rsidRPr="00CA2E03">
        <w:rPr>
          <w:rFonts w:cs="Arial"/>
        </w:rPr>
        <w:t xml:space="preserve"> </w:t>
      </w:r>
    </w:p>
    <w:p w14:paraId="46699D5C" w14:textId="77777777" w:rsidR="00CA2E03" w:rsidRDefault="00CA2E03" w:rsidP="00CA2E03">
      <w:pPr>
        <w:pStyle w:val="ListParagraph"/>
        <w:autoSpaceDE w:val="0"/>
        <w:autoSpaceDN w:val="0"/>
        <w:adjustRightInd w:val="0"/>
        <w:spacing w:line="480" w:lineRule="auto"/>
        <w:ind w:left="0"/>
        <w:rPr>
          <w:rFonts w:cs="Arial"/>
        </w:rPr>
      </w:pPr>
    </w:p>
    <w:p w14:paraId="473F1458" w14:textId="16C8091C" w:rsidR="005A77C2" w:rsidRPr="00B31F7D" w:rsidRDefault="00E26C94" w:rsidP="00B31F7D">
      <w:pPr>
        <w:pStyle w:val="ListParagraph"/>
        <w:numPr>
          <w:ilvl w:val="0"/>
          <w:numId w:val="46"/>
        </w:numPr>
        <w:autoSpaceDE w:val="0"/>
        <w:autoSpaceDN w:val="0"/>
        <w:adjustRightInd w:val="0"/>
        <w:spacing w:line="480" w:lineRule="auto"/>
        <w:ind w:left="0" w:hanging="11"/>
        <w:rPr>
          <w:rFonts w:cs="Arial"/>
        </w:rPr>
      </w:pPr>
      <w:r w:rsidRPr="00CA2E03">
        <w:rPr>
          <w:rFonts w:cs="Arial"/>
        </w:rPr>
        <w:t xml:space="preserve">EFSA </w:t>
      </w:r>
      <w:r w:rsidR="002759AB" w:rsidRPr="00CA2E03">
        <w:rPr>
          <w:rFonts w:cs="Arial"/>
        </w:rPr>
        <w:t xml:space="preserve">identified </w:t>
      </w:r>
      <w:r w:rsidR="00E42DA2" w:rsidRPr="00CA2E03">
        <w:rPr>
          <w:rFonts w:cs="Arial"/>
        </w:rPr>
        <w:t xml:space="preserve">the </w:t>
      </w:r>
      <w:r w:rsidR="0044045B" w:rsidRPr="00CA2E03">
        <w:rPr>
          <w:rFonts w:cs="Arial"/>
        </w:rPr>
        <w:t xml:space="preserve">immune system </w:t>
      </w:r>
      <w:r w:rsidR="002759AB" w:rsidRPr="00CA2E03">
        <w:rPr>
          <w:rFonts w:cs="Arial"/>
        </w:rPr>
        <w:t xml:space="preserve">as </w:t>
      </w:r>
      <w:r w:rsidR="0044045B" w:rsidRPr="00CA2E03">
        <w:rPr>
          <w:rFonts w:cs="Arial"/>
        </w:rPr>
        <w:t xml:space="preserve">the most sensitive </w:t>
      </w:r>
      <w:r w:rsidR="00F657A2" w:rsidRPr="00CA2E03">
        <w:rPr>
          <w:rFonts w:cs="Arial"/>
        </w:rPr>
        <w:t xml:space="preserve">target of </w:t>
      </w:r>
      <w:r w:rsidR="0044045B" w:rsidRPr="00CA2E03">
        <w:rPr>
          <w:rFonts w:cs="Arial"/>
        </w:rPr>
        <w:t>BPA</w:t>
      </w:r>
      <w:r w:rsidR="00A33F4D">
        <w:rPr>
          <w:rFonts w:cs="Arial"/>
        </w:rPr>
        <w:t xml:space="preserve"> based on </w:t>
      </w:r>
      <w:r w:rsidR="006A407E">
        <w:rPr>
          <w:rFonts w:cs="Arial"/>
        </w:rPr>
        <w:t>a</w:t>
      </w:r>
      <w:r w:rsidR="0044045B" w:rsidRPr="00CA2E03">
        <w:rPr>
          <w:rFonts w:cs="Arial"/>
        </w:rPr>
        <w:t>n</w:t>
      </w:r>
      <w:r w:rsidR="00E42DA2" w:rsidRPr="00CA2E03">
        <w:rPr>
          <w:rFonts w:cs="Arial"/>
        </w:rPr>
        <w:t xml:space="preserve"> </w:t>
      </w:r>
      <w:r w:rsidR="0061780D" w:rsidRPr="00CA2E03">
        <w:rPr>
          <w:rFonts w:cs="Arial"/>
        </w:rPr>
        <w:t xml:space="preserve">increase in </w:t>
      </w:r>
      <w:r w:rsidR="002759AB" w:rsidRPr="00CA2E03">
        <w:rPr>
          <w:rFonts w:cs="Arial"/>
        </w:rPr>
        <w:t xml:space="preserve">the </w:t>
      </w:r>
      <w:r w:rsidR="0061780D" w:rsidRPr="00CA2E03">
        <w:rPr>
          <w:rFonts w:cs="Arial"/>
        </w:rPr>
        <w:t>percentage of T</w:t>
      </w:r>
      <w:r w:rsidR="00E72BBA" w:rsidRPr="00CA2E03">
        <w:rPr>
          <w:rFonts w:cs="Arial"/>
        </w:rPr>
        <w:t>h</w:t>
      </w:r>
      <w:r w:rsidR="0061780D" w:rsidRPr="00CA2E03">
        <w:rPr>
          <w:rFonts w:cs="Arial"/>
        </w:rPr>
        <w:t>17 cells</w:t>
      </w:r>
      <w:r w:rsidR="00B31F7D">
        <w:rPr>
          <w:rFonts w:cs="Arial"/>
        </w:rPr>
        <w:t xml:space="preserve"> </w:t>
      </w:r>
      <w:r w:rsidR="002E2A4A" w:rsidRPr="00CA2E03">
        <w:rPr>
          <w:rFonts w:cs="Arial"/>
        </w:rPr>
        <w:t xml:space="preserve">reported </w:t>
      </w:r>
      <w:r w:rsidR="0061780D" w:rsidRPr="00CA2E03">
        <w:rPr>
          <w:rFonts w:cs="Arial"/>
        </w:rPr>
        <w:t xml:space="preserve">in </w:t>
      </w:r>
      <w:r w:rsidR="0071664A">
        <w:rPr>
          <w:rFonts w:cs="Arial"/>
        </w:rPr>
        <w:t xml:space="preserve">female </w:t>
      </w:r>
      <w:r w:rsidR="00812D10" w:rsidRPr="00CA2E03">
        <w:rPr>
          <w:rFonts w:cs="Arial"/>
        </w:rPr>
        <w:t>mice</w:t>
      </w:r>
      <w:r w:rsidR="002E2A4A" w:rsidRPr="00CA2E03">
        <w:rPr>
          <w:rFonts w:cs="Arial"/>
        </w:rPr>
        <w:t xml:space="preserve"> treated with BPA</w:t>
      </w:r>
      <w:r w:rsidR="00403505">
        <w:rPr>
          <w:rFonts w:cs="Arial"/>
        </w:rPr>
        <w:t xml:space="preserve"> </w:t>
      </w:r>
      <w:r w:rsidR="00403505" w:rsidRPr="00403505">
        <w:rPr>
          <w:rFonts w:cs="Arial"/>
        </w:rPr>
        <w:t>via drinking water from gestational day (GD) 0 to postnatal day (PND) 21</w:t>
      </w:r>
      <w:r w:rsidR="00CA27A0" w:rsidRPr="00CA2E03">
        <w:rPr>
          <w:rFonts w:cs="Arial"/>
        </w:rPr>
        <w:t xml:space="preserve">. </w:t>
      </w:r>
      <w:r w:rsidR="009652BD">
        <w:rPr>
          <w:rFonts w:cs="Arial"/>
        </w:rPr>
        <w:t>Th17 cells are</w:t>
      </w:r>
      <w:r w:rsidR="00207436">
        <w:rPr>
          <w:rFonts w:cs="Arial"/>
        </w:rPr>
        <w:t xml:space="preserve"> a </w:t>
      </w:r>
      <w:r w:rsidR="002F7875">
        <w:rPr>
          <w:rFonts w:cs="Arial"/>
        </w:rPr>
        <w:t xml:space="preserve">subset of </w:t>
      </w:r>
      <w:r w:rsidR="002C1FE2">
        <w:rPr>
          <w:rFonts w:cs="Arial"/>
        </w:rPr>
        <w:t>pro-inflammatory T helper</w:t>
      </w:r>
      <w:r w:rsidR="00207436">
        <w:rPr>
          <w:rFonts w:cs="Arial"/>
        </w:rPr>
        <w:t xml:space="preserve"> cell</w:t>
      </w:r>
      <w:r w:rsidR="002C1FE2">
        <w:rPr>
          <w:rFonts w:cs="Arial"/>
        </w:rPr>
        <w:t>s</w:t>
      </w:r>
      <w:r w:rsidR="00207436">
        <w:rPr>
          <w:rFonts w:cs="Arial"/>
        </w:rPr>
        <w:t xml:space="preserve"> which </w:t>
      </w:r>
      <w:r w:rsidR="00207436" w:rsidRPr="00CA2E03">
        <w:rPr>
          <w:rFonts w:cs="Arial"/>
        </w:rPr>
        <w:t>play a pivotal role in immune responses and are involved in inflammatory conditions</w:t>
      </w:r>
      <w:r w:rsidR="00794B21">
        <w:rPr>
          <w:rFonts w:cs="Arial"/>
        </w:rPr>
        <w:t>. W</w:t>
      </w:r>
      <w:r w:rsidR="005A77C2" w:rsidRPr="00B31F7D">
        <w:rPr>
          <w:rFonts w:cs="Arial"/>
        </w:rPr>
        <w:t>hile EFSA agreed that no direct causal link between the observed increase in T</w:t>
      </w:r>
      <w:r w:rsidR="00E72BBA" w:rsidRPr="00B31F7D">
        <w:rPr>
          <w:rFonts w:cs="Arial"/>
        </w:rPr>
        <w:t>h</w:t>
      </w:r>
      <w:r w:rsidR="005A77C2" w:rsidRPr="00B31F7D">
        <w:rPr>
          <w:rFonts w:cs="Arial"/>
        </w:rPr>
        <w:t xml:space="preserve">17 cells and an </w:t>
      </w:r>
      <w:r w:rsidR="00271404" w:rsidRPr="00B31F7D">
        <w:rPr>
          <w:rFonts w:cs="Arial"/>
        </w:rPr>
        <w:t xml:space="preserve">inflammatory </w:t>
      </w:r>
      <w:r w:rsidR="005A77C2" w:rsidRPr="00B31F7D">
        <w:rPr>
          <w:rFonts w:cs="Arial"/>
        </w:rPr>
        <w:t>response</w:t>
      </w:r>
      <w:r w:rsidR="00271404" w:rsidRPr="00B31F7D">
        <w:rPr>
          <w:rFonts w:cs="Arial"/>
        </w:rPr>
        <w:t xml:space="preserve"> has been established</w:t>
      </w:r>
      <w:r w:rsidR="005A77C2" w:rsidRPr="00B31F7D">
        <w:rPr>
          <w:rFonts w:cs="Arial"/>
        </w:rPr>
        <w:t xml:space="preserve">, they noted that there </w:t>
      </w:r>
      <w:r w:rsidR="00C41E4F">
        <w:rPr>
          <w:rFonts w:cs="Arial"/>
        </w:rPr>
        <w:t>was</w:t>
      </w:r>
      <w:r w:rsidR="005A77C2" w:rsidRPr="00B31F7D">
        <w:rPr>
          <w:rFonts w:cs="Arial"/>
        </w:rPr>
        <w:t xml:space="preserve"> evidence of a link between </w:t>
      </w:r>
      <w:r w:rsidR="00164D46" w:rsidRPr="00B31F7D">
        <w:rPr>
          <w:rFonts w:cs="Arial"/>
        </w:rPr>
        <w:t xml:space="preserve">changes in the number of </w:t>
      </w:r>
      <w:r w:rsidR="005A77C2" w:rsidRPr="00B31F7D">
        <w:rPr>
          <w:rFonts w:cs="Arial"/>
        </w:rPr>
        <w:t xml:space="preserve">Th17 cells (an intermediate endpoint, i.e. not the final toxic effect) and adverse outcomes, as Th17 cells are involved in </w:t>
      </w:r>
      <w:r w:rsidR="002B5F25" w:rsidRPr="00B31F7D">
        <w:rPr>
          <w:rFonts w:cs="Arial"/>
        </w:rPr>
        <w:t xml:space="preserve">a number of </w:t>
      </w:r>
      <w:r w:rsidR="005A77C2" w:rsidRPr="00B31F7D">
        <w:rPr>
          <w:rFonts w:cs="Arial"/>
        </w:rPr>
        <w:t>diseases with inflammatory pathogenesis, e.g. ps</w:t>
      </w:r>
      <w:r w:rsidR="1645EC1F" w:rsidRPr="00B31F7D">
        <w:rPr>
          <w:rFonts w:cs="Arial"/>
        </w:rPr>
        <w:t>o</w:t>
      </w:r>
      <w:r w:rsidR="005A77C2" w:rsidRPr="00B31F7D">
        <w:rPr>
          <w:rFonts w:cs="Arial"/>
        </w:rPr>
        <w:t xml:space="preserve">riasis, </w:t>
      </w:r>
      <w:r w:rsidR="416DC9F4" w:rsidRPr="00B31F7D">
        <w:rPr>
          <w:rFonts w:cs="Arial"/>
        </w:rPr>
        <w:t>asthma</w:t>
      </w:r>
      <w:r w:rsidR="005A77C2" w:rsidRPr="00B31F7D">
        <w:rPr>
          <w:rFonts w:cs="Arial"/>
        </w:rPr>
        <w:t xml:space="preserve">. </w:t>
      </w:r>
    </w:p>
    <w:p w14:paraId="716A2CD5" w14:textId="59FC5FF0" w:rsidR="00424CC3" w:rsidRPr="005A77C2" w:rsidRDefault="00424CC3" w:rsidP="00461E31">
      <w:pPr>
        <w:pStyle w:val="ListParagraph"/>
        <w:autoSpaceDE w:val="0"/>
        <w:autoSpaceDN w:val="0"/>
        <w:adjustRightInd w:val="0"/>
        <w:spacing w:line="480" w:lineRule="auto"/>
        <w:ind w:left="0"/>
        <w:rPr>
          <w:rFonts w:cs="Arial"/>
        </w:rPr>
      </w:pPr>
    </w:p>
    <w:p w14:paraId="1A9F82C3" w14:textId="6EA326E3" w:rsidR="00CD1F1B" w:rsidRDefault="002B5F25" w:rsidP="00461E31">
      <w:pPr>
        <w:pStyle w:val="ListParagraph"/>
        <w:numPr>
          <w:ilvl w:val="0"/>
          <w:numId w:val="46"/>
        </w:numPr>
        <w:autoSpaceDE w:val="0"/>
        <w:autoSpaceDN w:val="0"/>
        <w:adjustRightInd w:val="0"/>
        <w:spacing w:line="480" w:lineRule="auto"/>
        <w:ind w:left="0" w:hanging="11"/>
        <w:rPr>
          <w:rFonts w:cs="Arial"/>
        </w:rPr>
      </w:pPr>
      <w:r>
        <w:rPr>
          <w:rFonts w:cs="Arial"/>
        </w:rPr>
        <w:t>EFSA’s</w:t>
      </w:r>
      <w:r w:rsidRPr="68DCF21E">
        <w:rPr>
          <w:rFonts w:cs="Arial"/>
        </w:rPr>
        <w:t xml:space="preserve"> </w:t>
      </w:r>
      <w:r w:rsidR="009C7545" w:rsidRPr="68DCF21E">
        <w:rPr>
          <w:rFonts w:cs="Arial"/>
        </w:rPr>
        <w:t xml:space="preserve">new TDI </w:t>
      </w:r>
      <w:r w:rsidR="00F76805" w:rsidRPr="68DCF21E">
        <w:rPr>
          <w:rFonts w:cs="Arial"/>
        </w:rPr>
        <w:t xml:space="preserve">of 0.2 ng BPA/kg </w:t>
      </w:r>
      <w:r w:rsidR="00FC5888">
        <w:rPr>
          <w:rFonts w:cs="Arial"/>
        </w:rPr>
        <w:t>bw</w:t>
      </w:r>
      <w:r w:rsidR="00F76805" w:rsidRPr="68DCF21E">
        <w:rPr>
          <w:rFonts w:cs="Arial"/>
        </w:rPr>
        <w:t xml:space="preserve"> per day </w:t>
      </w:r>
      <w:r w:rsidR="009C7545" w:rsidRPr="68DCF21E">
        <w:rPr>
          <w:rFonts w:cs="Arial"/>
        </w:rPr>
        <w:t xml:space="preserve">was based on </w:t>
      </w:r>
      <w:r w:rsidR="001F213E" w:rsidRPr="68DCF21E">
        <w:rPr>
          <w:rFonts w:cs="Arial"/>
        </w:rPr>
        <w:t xml:space="preserve">a </w:t>
      </w:r>
      <w:r w:rsidR="003C436C" w:rsidRPr="68DCF21E">
        <w:rPr>
          <w:rFonts w:cs="Arial"/>
        </w:rPr>
        <w:t xml:space="preserve">HED of </w:t>
      </w:r>
      <w:r w:rsidR="001F213E" w:rsidRPr="68DCF21E">
        <w:rPr>
          <w:rFonts w:cs="Arial"/>
        </w:rPr>
        <w:t>8.2 ng/kg bw per day</w:t>
      </w:r>
      <w:r w:rsidR="00F344E0">
        <w:rPr>
          <w:rFonts w:cs="Arial"/>
        </w:rPr>
        <w:t xml:space="preserve">, converted from </w:t>
      </w:r>
      <w:r w:rsidR="005A70C1" w:rsidRPr="005A70C1">
        <w:rPr>
          <w:rFonts w:cs="Arial"/>
        </w:rPr>
        <w:t>the BMDL</w:t>
      </w:r>
      <w:r w:rsidR="005A70C1" w:rsidRPr="00392B56">
        <w:rPr>
          <w:rFonts w:cs="Arial"/>
          <w:vertAlign w:val="subscript"/>
        </w:rPr>
        <w:t>40</w:t>
      </w:r>
      <w:r w:rsidR="00645DCB">
        <w:rPr>
          <w:rFonts w:cs="Arial"/>
        </w:rPr>
        <w:t xml:space="preserve"> </w:t>
      </w:r>
      <w:r>
        <w:rPr>
          <w:rFonts w:cs="Arial"/>
        </w:rPr>
        <w:t>for a 40</w:t>
      </w:r>
      <w:r w:rsidR="000A7904">
        <w:rPr>
          <w:rFonts w:cs="Arial"/>
        </w:rPr>
        <w:t xml:space="preserve"> </w:t>
      </w:r>
      <w:r>
        <w:rPr>
          <w:rFonts w:cs="Arial"/>
        </w:rPr>
        <w:t xml:space="preserve">% </w:t>
      </w:r>
      <w:r w:rsidR="006C6AE6" w:rsidRPr="006C6AE6">
        <w:rPr>
          <w:rFonts w:cs="Arial"/>
        </w:rPr>
        <w:t>increase in the percentage of T</w:t>
      </w:r>
      <w:r w:rsidR="00E72BBA">
        <w:rPr>
          <w:rFonts w:cs="Arial"/>
        </w:rPr>
        <w:t>h</w:t>
      </w:r>
      <w:r w:rsidR="006C6AE6" w:rsidRPr="006C6AE6">
        <w:rPr>
          <w:rFonts w:cs="Arial"/>
        </w:rPr>
        <w:t>17 cells in mice</w:t>
      </w:r>
      <w:r w:rsidR="004E18D6">
        <w:rPr>
          <w:rFonts w:cs="Arial"/>
        </w:rPr>
        <w:t>.</w:t>
      </w:r>
      <w:r w:rsidR="00213B13" w:rsidRPr="68DCF21E">
        <w:rPr>
          <w:rFonts w:cs="Arial"/>
        </w:rPr>
        <w:t xml:space="preserve"> </w:t>
      </w:r>
      <w:r w:rsidR="009B1C3A">
        <w:rPr>
          <w:rFonts w:cs="Arial"/>
        </w:rPr>
        <w:t xml:space="preserve">The benchmark response </w:t>
      </w:r>
      <w:r w:rsidR="00525477">
        <w:rPr>
          <w:rFonts w:cs="Arial"/>
        </w:rPr>
        <w:t>(BMR</w:t>
      </w:r>
      <w:r w:rsidR="00843AB3">
        <w:rPr>
          <w:rFonts w:cs="Arial"/>
        </w:rPr>
        <w:t xml:space="preserve">) </w:t>
      </w:r>
      <w:r w:rsidR="009B1C3A">
        <w:rPr>
          <w:rFonts w:cs="Arial"/>
        </w:rPr>
        <w:t>was selected on the basis of the variance observed in the numbers of Th17 cells in a healthy human population</w:t>
      </w:r>
      <w:r w:rsidR="00CC0643">
        <w:rPr>
          <w:rFonts w:cs="Arial"/>
        </w:rPr>
        <w:t>.</w:t>
      </w:r>
      <w:r w:rsidR="009B1C3A">
        <w:rPr>
          <w:rFonts w:cs="Arial"/>
        </w:rPr>
        <w:t xml:space="preserve"> </w:t>
      </w:r>
      <w:r w:rsidR="00DA645A" w:rsidRPr="68DCF21E">
        <w:rPr>
          <w:rFonts w:cs="Arial"/>
        </w:rPr>
        <w:t xml:space="preserve">EFSA applied </w:t>
      </w:r>
      <w:r w:rsidR="00F038BF" w:rsidRPr="68DCF21E">
        <w:rPr>
          <w:rFonts w:cs="Arial"/>
        </w:rPr>
        <w:t xml:space="preserve">an overall </w:t>
      </w:r>
      <w:r w:rsidR="006547C2" w:rsidRPr="68DCF21E">
        <w:rPr>
          <w:rFonts w:cs="Arial"/>
        </w:rPr>
        <w:t xml:space="preserve">UF </w:t>
      </w:r>
      <w:r w:rsidR="00F038BF" w:rsidRPr="68DCF21E">
        <w:rPr>
          <w:rFonts w:cs="Arial"/>
        </w:rPr>
        <w:t>of 5</w:t>
      </w:r>
      <w:r w:rsidR="00A719A9" w:rsidRPr="68DCF21E">
        <w:rPr>
          <w:rFonts w:cs="Arial"/>
        </w:rPr>
        <w:t>0</w:t>
      </w:r>
      <w:r w:rsidR="00C96ACB" w:rsidRPr="68DCF21E">
        <w:rPr>
          <w:rFonts w:cs="Arial"/>
        </w:rPr>
        <w:t>,</w:t>
      </w:r>
      <w:r w:rsidR="006547C2" w:rsidRPr="68DCF21E">
        <w:rPr>
          <w:rFonts w:cs="Arial"/>
        </w:rPr>
        <w:t xml:space="preserve"> </w:t>
      </w:r>
      <w:r w:rsidR="00490F3B">
        <w:rPr>
          <w:rFonts w:cs="Arial"/>
        </w:rPr>
        <w:t xml:space="preserve">using </w:t>
      </w:r>
      <w:r w:rsidR="00DA645A" w:rsidRPr="68DCF21E">
        <w:rPr>
          <w:rFonts w:cs="Arial"/>
        </w:rPr>
        <w:t xml:space="preserve">the default </w:t>
      </w:r>
      <w:r w:rsidR="008454BE" w:rsidRPr="68DCF21E">
        <w:rPr>
          <w:rFonts w:cs="Arial"/>
        </w:rPr>
        <w:t>UF</w:t>
      </w:r>
      <w:r w:rsidR="00490F3B">
        <w:rPr>
          <w:rFonts w:cs="Arial"/>
        </w:rPr>
        <w:t>s</w:t>
      </w:r>
      <w:r w:rsidR="008454BE" w:rsidRPr="68DCF21E">
        <w:rPr>
          <w:rFonts w:cs="Arial"/>
        </w:rPr>
        <w:t xml:space="preserve"> of 2.5 and 10 for interspecies toxicodynamic differences and intraspecies variability in toxicokinetics </w:t>
      </w:r>
      <w:r w:rsidR="008454BE" w:rsidRPr="68DCF21E">
        <w:rPr>
          <w:rFonts w:cs="Arial"/>
        </w:rPr>
        <w:lastRenderedPageBreak/>
        <w:t xml:space="preserve">and toxicodynamics, respectively. </w:t>
      </w:r>
      <w:r w:rsidR="0050695E" w:rsidRPr="68DCF21E">
        <w:rPr>
          <w:rFonts w:cs="Arial"/>
        </w:rPr>
        <w:t xml:space="preserve">No </w:t>
      </w:r>
      <w:r w:rsidR="00815022">
        <w:rPr>
          <w:rFonts w:cs="Arial"/>
        </w:rPr>
        <w:t>UF</w:t>
      </w:r>
      <w:r w:rsidR="0050695E" w:rsidRPr="68DCF21E">
        <w:rPr>
          <w:rFonts w:cs="Arial"/>
        </w:rPr>
        <w:t xml:space="preserve"> was applied for interspecies variability in toxicokinetics as this was already accounted for in the conversion to the HED.</w:t>
      </w:r>
      <w:r w:rsidR="005657A2" w:rsidRPr="68DCF21E">
        <w:rPr>
          <w:rFonts w:cs="Arial"/>
        </w:rPr>
        <w:t xml:space="preserve"> EFSA did however </w:t>
      </w:r>
      <w:r w:rsidR="002C1E0F" w:rsidRPr="68DCF21E">
        <w:rPr>
          <w:rFonts w:cs="Arial"/>
        </w:rPr>
        <w:t xml:space="preserve">apply an additional UF of 2 based on the uncertainty analysis performed. </w:t>
      </w:r>
      <w:r w:rsidR="00E763E5">
        <w:rPr>
          <w:rFonts w:cs="Arial"/>
        </w:rPr>
        <w:t>The resulting value was rounded to 0.2 ng/kg bw per day</w:t>
      </w:r>
      <w:r w:rsidR="006D0776">
        <w:rPr>
          <w:rFonts w:cs="Arial"/>
        </w:rPr>
        <w:t>.</w:t>
      </w:r>
    </w:p>
    <w:p w14:paraId="7FF4A6D9" w14:textId="77777777" w:rsidR="00ED4193" w:rsidRPr="00ED4193" w:rsidRDefault="00ED4193" w:rsidP="00ED4193">
      <w:pPr>
        <w:pStyle w:val="ListParagraph"/>
        <w:rPr>
          <w:rFonts w:cs="Arial"/>
        </w:rPr>
      </w:pPr>
    </w:p>
    <w:p w14:paraId="374AADCD" w14:textId="1BCA76CF" w:rsidR="00047B4B" w:rsidRDefault="00501C91" w:rsidP="00B31B67">
      <w:pPr>
        <w:pStyle w:val="ListParagraph"/>
        <w:numPr>
          <w:ilvl w:val="0"/>
          <w:numId w:val="46"/>
        </w:numPr>
        <w:autoSpaceDE w:val="0"/>
        <w:autoSpaceDN w:val="0"/>
        <w:adjustRightInd w:val="0"/>
        <w:spacing w:line="480" w:lineRule="auto"/>
        <w:ind w:left="0" w:hanging="11"/>
        <w:rPr>
          <w:rFonts w:cs="Arial"/>
        </w:rPr>
      </w:pPr>
      <w:r>
        <w:rPr>
          <w:rFonts w:cs="Arial"/>
        </w:rPr>
        <w:t xml:space="preserve">In their </w:t>
      </w:r>
      <w:r w:rsidR="00C227E9">
        <w:rPr>
          <w:rFonts w:cs="Arial"/>
        </w:rPr>
        <w:t xml:space="preserve">uncertainty </w:t>
      </w:r>
      <w:r>
        <w:rPr>
          <w:rFonts w:cs="Arial"/>
        </w:rPr>
        <w:t xml:space="preserve">assessment, </w:t>
      </w:r>
      <w:r w:rsidR="00ED4193" w:rsidRPr="00047B4B">
        <w:rPr>
          <w:rFonts w:cs="Arial"/>
        </w:rPr>
        <w:t>EFSA applied a deterministic approach, deriving single point uncertainty estimates, combining multiple assumptions and applying them to the point of departure (P</w:t>
      </w:r>
      <w:r w:rsidR="000664D7">
        <w:rPr>
          <w:rFonts w:cs="Arial"/>
        </w:rPr>
        <w:t>O</w:t>
      </w:r>
      <w:r w:rsidR="00ED4193" w:rsidRPr="00047B4B">
        <w:rPr>
          <w:rFonts w:cs="Arial"/>
        </w:rPr>
        <w:t>D) to derive the TDI.</w:t>
      </w:r>
    </w:p>
    <w:p w14:paraId="46FA5BE0" w14:textId="77777777" w:rsidR="00047B4B" w:rsidRPr="00047B4B" w:rsidRDefault="00047B4B" w:rsidP="00047B4B">
      <w:pPr>
        <w:pStyle w:val="ListParagraph"/>
        <w:rPr>
          <w:rFonts w:cs="Arial"/>
        </w:rPr>
      </w:pPr>
    </w:p>
    <w:p w14:paraId="41F2B327" w14:textId="24773B63" w:rsidR="00737B17" w:rsidRPr="00047B4B" w:rsidRDefault="00A57581" w:rsidP="00737B17">
      <w:pPr>
        <w:pStyle w:val="ListParagraph"/>
        <w:numPr>
          <w:ilvl w:val="0"/>
          <w:numId w:val="46"/>
        </w:numPr>
        <w:autoSpaceDE w:val="0"/>
        <w:autoSpaceDN w:val="0"/>
        <w:adjustRightInd w:val="0"/>
        <w:spacing w:line="480" w:lineRule="auto"/>
        <w:ind w:left="0" w:hanging="11"/>
        <w:rPr>
          <w:rFonts w:cs="Arial"/>
        </w:rPr>
      </w:pPr>
      <w:r>
        <w:rPr>
          <w:rFonts w:cs="Arial"/>
        </w:rPr>
        <w:t xml:space="preserve">While </w:t>
      </w:r>
      <w:r w:rsidR="00D71EF6">
        <w:rPr>
          <w:rFonts w:cs="Arial"/>
        </w:rPr>
        <w:t xml:space="preserve">EFSA did not undertake an </w:t>
      </w:r>
      <w:r w:rsidR="00205B7F">
        <w:rPr>
          <w:rFonts w:cs="Arial"/>
        </w:rPr>
        <w:t>exposure assessment, given that the available exposure data w</w:t>
      </w:r>
      <w:r w:rsidR="0055180A">
        <w:rPr>
          <w:rFonts w:cs="Arial"/>
        </w:rPr>
        <w:t>ere</w:t>
      </w:r>
      <w:r w:rsidR="00205B7F">
        <w:rPr>
          <w:rFonts w:cs="Arial"/>
        </w:rPr>
        <w:t xml:space="preserve"> from </w:t>
      </w:r>
      <w:r w:rsidR="00205B7F" w:rsidRPr="00047B4B">
        <w:rPr>
          <w:rFonts w:cs="Arial"/>
        </w:rPr>
        <w:t>2008 – 2012</w:t>
      </w:r>
      <w:r w:rsidR="00205B7F">
        <w:rPr>
          <w:rFonts w:cs="Arial"/>
        </w:rPr>
        <w:t xml:space="preserve">, comparison of </w:t>
      </w:r>
      <w:r w:rsidR="00737B17">
        <w:rPr>
          <w:rFonts w:cs="Arial"/>
        </w:rPr>
        <w:t xml:space="preserve">exposure estimates </w:t>
      </w:r>
      <w:r w:rsidR="00B31B55">
        <w:rPr>
          <w:rFonts w:cs="Arial"/>
        </w:rPr>
        <w:t>from 2015</w:t>
      </w:r>
      <w:r w:rsidR="00737B17">
        <w:rPr>
          <w:rFonts w:cs="Arial"/>
        </w:rPr>
        <w:t xml:space="preserve"> would </w:t>
      </w:r>
      <w:r w:rsidR="008D4D82">
        <w:rPr>
          <w:rFonts w:cs="Arial"/>
        </w:rPr>
        <w:t xml:space="preserve">imply </w:t>
      </w:r>
      <w:r w:rsidR="00737B17">
        <w:rPr>
          <w:rFonts w:cs="Arial"/>
        </w:rPr>
        <w:t xml:space="preserve">that </w:t>
      </w:r>
      <w:r w:rsidR="00737B17" w:rsidRPr="00047B4B">
        <w:rPr>
          <w:rFonts w:cs="Arial"/>
        </w:rPr>
        <w:t>mean and high</w:t>
      </w:r>
      <w:r w:rsidR="00C75B81">
        <w:rPr>
          <w:rFonts w:cs="Arial"/>
        </w:rPr>
        <w:t xml:space="preserve"> </w:t>
      </w:r>
      <w:r w:rsidR="00737B17" w:rsidRPr="00047B4B">
        <w:rPr>
          <w:rFonts w:cs="Arial"/>
        </w:rPr>
        <w:t>level consumers of all age groups could potentially exceed the new TDI by 2-3 orders of magnitude.</w:t>
      </w:r>
    </w:p>
    <w:p w14:paraId="0A4F4FA1" w14:textId="77777777" w:rsidR="00CD57D3" w:rsidRPr="00CD57D3" w:rsidRDefault="00CD57D3" w:rsidP="00461E31">
      <w:pPr>
        <w:pStyle w:val="ListParagraph"/>
        <w:spacing w:line="480" w:lineRule="auto"/>
        <w:rPr>
          <w:rFonts w:cs="Arial"/>
        </w:rPr>
      </w:pPr>
    </w:p>
    <w:p w14:paraId="0D804F9F" w14:textId="5302AE58" w:rsidR="00514D83" w:rsidRDefault="00C75B81" w:rsidP="001B1F3A">
      <w:pPr>
        <w:pStyle w:val="Heading1"/>
      </w:pPr>
      <w:r>
        <w:t>E</w:t>
      </w:r>
      <w:r w:rsidR="009373B3">
        <w:t xml:space="preserve">valuations by Regulatory bodies since the </w:t>
      </w:r>
      <w:r w:rsidR="00AB4DEA">
        <w:t xml:space="preserve">EFSA 2023 Opinion </w:t>
      </w:r>
    </w:p>
    <w:p w14:paraId="31F79038" w14:textId="77777777" w:rsidR="001E3F5F" w:rsidRPr="001E3F5F" w:rsidRDefault="001E3F5F" w:rsidP="001E3F5F">
      <w:pPr>
        <w:pStyle w:val="ListParagraph"/>
        <w:rPr>
          <w:rFonts w:cs="Arial"/>
        </w:rPr>
      </w:pPr>
    </w:p>
    <w:p w14:paraId="0FC3D9C7" w14:textId="69471A99" w:rsidR="00880BB6" w:rsidRDefault="005A78EF" w:rsidP="00B31B67">
      <w:pPr>
        <w:pStyle w:val="ListParagraph"/>
        <w:numPr>
          <w:ilvl w:val="0"/>
          <w:numId w:val="46"/>
        </w:numPr>
        <w:autoSpaceDE w:val="0"/>
        <w:autoSpaceDN w:val="0"/>
        <w:adjustRightInd w:val="0"/>
        <w:spacing w:line="480" w:lineRule="auto"/>
        <w:ind w:left="0" w:hanging="11"/>
        <w:rPr>
          <w:rFonts w:cs="Arial"/>
        </w:rPr>
      </w:pPr>
      <w:r>
        <w:rPr>
          <w:rFonts w:cs="Arial"/>
        </w:rPr>
        <w:t xml:space="preserve">During the public consultation </w:t>
      </w:r>
      <w:r w:rsidR="00C855A5">
        <w:rPr>
          <w:rFonts w:cs="Arial"/>
        </w:rPr>
        <w:t xml:space="preserve">on the new EFSA opinion </w:t>
      </w:r>
      <w:r>
        <w:rPr>
          <w:rFonts w:cs="Arial"/>
        </w:rPr>
        <w:t>in 2021</w:t>
      </w:r>
      <w:r w:rsidR="00C855A5">
        <w:rPr>
          <w:rFonts w:cs="Arial"/>
        </w:rPr>
        <w:t>/2022, b</w:t>
      </w:r>
      <w:r w:rsidR="00880BB6" w:rsidRPr="006E07B6">
        <w:rPr>
          <w:rFonts w:cs="Arial"/>
        </w:rPr>
        <w:t xml:space="preserve">oth, the </w:t>
      </w:r>
      <w:r w:rsidR="00275D4D">
        <w:rPr>
          <w:rFonts w:cs="Arial"/>
        </w:rPr>
        <w:t>European Medical Agency (</w:t>
      </w:r>
      <w:r w:rsidR="00880BB6" w:rsidRPr="006E07B6">
        <w:rPr>
          <w:rFonts w:cs="Arial"/>
        </w:rPr>
        <w:t>EMA</w:t>
      </w:r>
      <w:r w:rsidR="00275D4D">
        <w:rPr>
          <w:rFonts w:cs="Arial"/>
        </w:rPr>
        <w:t>)</w:t>
      </w:r>
      <w:r w:rsidR="00880BB6" w:rsidRPr="006E07B6">
        <w:rPr>
          <w:rFonts w:cs="Arial"/>
        </w:rPr>
        <w:t xml:space="preserve"> and the </w:t>
      </w:r>
      <w:r w:rsidR="00275D4D">
        <w:rPr>
          <w:rFonts w:cs="Arial"/>
        </w:rPr>
        <w:t>German Federal Institute for Risk Assessment (</w:t>
      </w:r>
      <w:r w:rsidR="00880BB6" w:rsidRPr="006E07B6">
        <w:rPr>
          <w:rFonts w:cs="Arial"/>
        </w:rPr>
        <w:t>BfR</w:t>
      </w:r>
      <w:r w:rsidR="00275D4D">
        <w:rPr>
          <w:rFonts w:cs="Arial"/>
        </w:rPr>
        <w:t>)</w:t>
      </w:r>
      <w:r w:rsidR="00880BB6" w:rsidRPr="006E07B6">
        <w:rPr>
          <w:rFonts w:cs="Arial"/>
        </w:rPr>
        <w:t xml:space="preserve"> provided comments to EFSA, highlighting their diverging views from EFSA, i.e., on the use of an intermediate endpoint for the derivation of a health</w:t>
      </w:r>
      <w:r w:rsidR="00BA73B4">
        <w:rPr>
          <w:rFonts w:cs="Arial"/>
        </w:rPr>
        <w:t xml:space="preserve"> </w:t>
      </w:r>
      <w:r w:rsidR="00880BB6" w:rsidRPr="006E07B6">
        <w:rPr>
          <w:rFonts w:cs="Arial"/>
        </w:rPr>
        <w:t xml:space="preserve">based guidance value (HBGV), the approach and timeframe applied for consideration of studies, and the risk assessment approach including the uncertainty analysis and clinical relevance/extrapolation from animals to humans and derivation of the HED. </w:t>
      </w:r>
    </w:p>
    <w:p w14:paraId="741D5ECE" w14:textId="77777777" w:rsidR="009B57F4" w:rsidRPr="006E07B6" w:rsidRDefault="009B57F4" w:rsidP="009B57F4">
      <w:pPr>
        <w:pStyle w:val="ListParagraph"/>
        <w:autoSpaceDE w:val="0"/>
        <w:autoSpaceDN w:val="0"/>
        <w:adjustRightInd w:val="0"/>
        <w:spacing w:line="480" w:lineRule="auto"/>
        <w:ind w:left="0"/>
        <w:rPr>
          <w:rFonts w:cs="Arial"/>
        </w:rPr>
      </w:pPr>
    </w:p>
    <w:p w14:paraId="4D6F1D9F" w14:textId="4DCCC528" w:rsidR="009B57F4" w:rsidRDefault="009B57F4" w:rsidP="008404E8">
      <w:pPr>
        <w:pStyle w:val="ListParagraph"/>
        <w:numPr>
          <w:ilvl w:val="0"/>
          <w:numId w:val="46"/>
        </w:numPr>
        <w:autoSpaceDE w:val="0"/>
        <w:autoSpaceDN w:val="0"/>
        <w:adjustRightInd w:val="0"/>
        <w:spacing w:line="480" w:lineRule="auto"/>
        <w:ind w:left="0" w:hanging="11"/>
      </w:pPr>
      <w:r>
        <w:lastRenderedPageBreak/>
        <w:t xml:space="preserve">As the diverging views could not be resolved, according to the founding regulation, EFSA </w:t>
      </w:r>
      <w:r w:rsidR="001E7FF8">
        <w:t>(</w:t>
      </w:r>
      <w:r w:rsidR="001E7FF8" w:rsidRPr="001E7FF8">
        <w:t xml:space="preserve">Article 30 of </w:t>
      </w:r>
      <w:hyperlink r:id="rId29" w:history="1">
        <w:r w:rsidR="001E7FF8" w:rsidRPr="00766701">
          <w:rPr>
            <w:rStyle w:val="Hyperlink"/>
          </w:rPr>
          <w:t>Regulation (EC) No 178/2002</w:t>
        </w:r>
      </w:hyperlink>
      <w:r w:rsidR="001E7FF8">
        <w:t xml:space="preserve">) </w:t>
      </w:r>
      <w:r>
        <w:t>and the EMA</w:t>
      </w:r>
      <w:r w:rsidR="00DA46FB">
        <w:t xml:space="preserve"> </w:t>
      </w:r>
      <w:r w:rsidR="00D73A0E">
        <w:t>(</w:t>
      </w:r>
      <w:r w:rsidR="00D73A0E" w:rsidRPr="00D73A0E">
        <w:t xml:space="preserve">Article 59 of Regulation </w:t>
      </w:r>
      <w:hyperlink r:id="rId30" w:history="1">
        <w:r w:rsidR="00D73A0E" w:rsidRPr="00070778">
          <w:rPr>
            <w:rStyle w:val="Hyperlink"/>
          </w:rPr>
          <w:t>(EC) No 726/2004</w:t>
        </w:r>
      </w:hyperlink>
      <w:r w:rsidR="008404E8">
        <w:t xml:space="preserve">) </w:t>
      </w:r>
      <w:r w:rsidR="00DA46FB">
        <w:t xml:space="preserve">and </w:t>
      </w:r>
      <w:r>
        <w:t>BfR were obliged to present joint documents to the EC clarifying their scientific issues and identifying relevant uncertainties in the data. These documents are publicly available</w:t>
      </w:r>
      <w:r w:rsidR="008251E4">
        <w:t xml:space="preserve"> (</w:t>
      </w:r>
      <w:hyperlink r:id="rId31" w:history="1">
        <w:r w:rsidR="0082208E" w:rsidRPr="001D3AD1">
          <w:rPr>
            <w:rStyle w:val="Hyperlink"/>
          </w:rPr>
          <w:t>EFSA/</w:t>
        </w:r>
        <w:r w:rsidR="008B3853" w:rsidRPr="001D3AD1">
          <w:rPr>
            <w:rStyle w:val="Hyperlink"/>
          </w:rPr>
          <w:t>EMA, 2023</w:t>
        </w:r>
      </w:hyperlink>
      <w:r w:rsidR="008B3853">
        <w:t xml:space="preserve">; </w:t>
      </w:r>
      <w:hyperlink r:id="rId32" w:history="1">
        <w:r w:rsidR="0082208E" w:rsidRPr="008E4395">
          <w:rPr>
            <w:rStyle w:val="Hyperlink"/>
          </w:rPr>
          <w:t>EFSA/</w:t>
        </w:r>
        <w:r w:rsidR="008B3853" w:rsidRPr="008E4395">
          <w:rPr>
            <w:rStyle w:val="Hyperlink"/>
          </w:rPr>
          <w:t>BfR</w:t>
        </w:r>
        <w:r w:rsidR="00BA7BD2" w:rsidRPr="008E4395">
          <w:rPr>
            <w:rStyle w:val="Hyperlink"/>
          </w:rPr>
          <w:t>, 2023</w:t>
        </w:r>
      </w:hyperlink>
      <w:r w:rsidR="00BA7BD2">
        <w:t>)</w:t>
      </w:r>
      <w:r>
        <w:t xml:space="preserve">. </w:t>
      </w:r>
    </w:p>
    <w:p w14:paraId="374CAC82" w14:textId="2660E972" w:rsidR="00652B27" w:rsidRPr="009D0C4C" w:rsidRDefault="00652B27" w:rsidP="009D0C4C">
      <w:pPr>
        <w:pStyle w:val="ListParagraph"/>
        <w:autoSpaceDE w:val="0"/>
        <w:autoSpaceDN w:val="0"/>
        <w:adjustRightInd w:val="0"/>
        <w:spacing w:line="480" w:lineRule="auto"/>
        <w:ind w:left="0"/>
        <w:rPr>
          <w:b/>
          <w:bCs/>
          <w:i/>
          <w:iCs/>
        </w:rPr>
      </w:pPr>
    </w:p>
    <w:p w14:paraId="153CD0EE" w14:textId="6D0E1725" w:rsidR="006E4A44" w:rsidRDefault="006E4A44" w:rsidP="001B1F3A">
      <w:pPr>
        <w:pStyle w:val="Heading2"/>
      </w:pPr>
      <w:r w:rsidRPr="00C37CDC">
        <w:t>European M</w:t>
      </w:r>
      <w:r w:rsidR="00105D00" w:rsidRPr="00C37CDC">
        <w:t xml:space="preserve">edical </w:t>
      </w:r>
      <w:r w:rsidRPr="00C37CDC">
        <w:t>A</w:t>
      </w:r>
      <w:r w:rsidR="00105D00" w:rsidRPr="00C37CDC">
        <w:t>gency</w:t>
      </w:r>
      <w:r w:rsidR="00C37CDC">
        <w:t xml:space="preserve"> (EMA)</w:t>
      </w:r>
      <w:r w:rsidR="00F163F5">
        <w:t xml:space="preserve"> </w:t>
      </w:r>
    </w:p>
    <w:p w14:paraId="44CDB850" w14:textId="77777777" w:rsidR="00C22F7A" w:rsidRPr="00C22F7A" w:rsidRDefault="00C22F7A" w:rsidP="00C22F7A"/>
    <w:p w14:paraId="70ADF63E" w14:textId="618D117D" w:rsidR="001A35DC" w:rsidRDefault="00491644" w:rsidP="001A35DC">
      <w:pPr>
        <w:pStyle w:val="ListParagraph"/>
        <w:numPr>
          <w:ilvl w:val="0"/>
          <w:numId w:val="46"/>
        </w:numPr>
        <w:autoSpaceDE w:val="0"/>
        <w:autoSpaceDN w:val="0"/>
        <w:adjustRightInd w:val="0"/>
        <w:spacing w:line="480" w:lineRule="auto"/>
        <w:ind w:left="0" w:hanging="11"/>
      </w:pPr>
      <w:r>
        <w:t xml:space="preserve">The </w:t>
      </w:r>
      <w:r w:rsidR="002524DE">
        <w:t>EMA did not agree with EFSA’s revised TDI due to the two agencies different scientific approaches to risk assessment and methodology for quantifying risk, i.e. the adverse effect definition, the intermediate versus apical endpoint</w:t>
      </w:r>
      <w:r w:rsidR="00520B6A">
        <w:t xml:space="preserve"> (</w:t>
      </w:r>
      <w:r w:rsidR="009646AD">
        <w:t>final observable)</w:t>
      </w:r>
      <w:r w:rsidR="002524DE">
        <w:t>, the approach applied for consideration of studies and the risk assessment approach including the clinical relevance/extrapolation from animal studies for use in human</w:t>
      </w:r>
      <w:r w:rsidR="001A35DC">
        <w:t xml:space="preserve">s. </w:t>
      </w:r>
    </w:p>
    <w:p w14:paraId="2EC2E3BD" w14:textId="77777777" w:rsidR="001A35DC" w:rsidRDefault="001A35DC" w:rsidP="001A35DC">
      <w:pPr>
        <w:pStyle w:val="ListParagraph"/>
        <w:autoSpaceDE w:val="0"/>
        <w:autoSpaceDN w:val="0"/>
        <w:adjustRightInd w:val="0"/>
        <w:spacing w:line="480" w:lineRule="auto"/>
        <w:ind w:left="0"/>
      </w:pPr>
    </w:p>
    <w:p w14:paraId="0B79370E" w14:textId="6D813E4F" w:rsidR="000711FE" w:rsidRDefault="002524DE" w:rsidP="00B31B67">
      <w:pPr>
        <w:pStyle w:val="ListParagraph"/>
        <w:numPr>
          <w:ilvl w:val="0"/>
          <w:numId w:val="46"/>
        </w:numPr>
        <w:autoSpaceDE w:val="0"/>
        <w:autoSpaceDN w:val="0"/>
        <w:adjustRightInd w:val="0"/>
        <w:spacing w:line="480" w:lineRule="auto"/>
        <w:ind w:left="0" w:hanging="11"/>
      </w:pPr>
      <w:r>
        <w:t xml:space="preserve"> </w:t>
      </w:r>
      <w:r w:rsidR="00212D6C">
        <w:t xml:space="preserve">EFSA and </w:t>
      </w:r>
      <w:r w:rsidR="0033273F">
        <w:t xml:space="preserve">the </w:t>
      </w:r>
      <w:r w:rsidR="00212D6C">
        <w:t>EMA</w:t>
      </w:r>
      <w:r>
        <w:t xml:space="preserve"> ha</w:t>
      </w:r>
      <w:r w:rsidR="0033273F">
        <w:t>d</w:t>
      </w:r>
      <w:r>
        <w:t xml:space="preserve"> diverging views on what c</w:t>
      </w:r>
      <w:r w:rsidR="009646AD">
        <w:t>ould</w:t>
      </w:r>
      <w:r>
        <w:t xml:space="preserve"> be considered sufficient scientific evidence to demonstrate that an intermediate endpoint in animals </w:t>
      </w:r>
      <w:r w:rsidR="003F55AD">
        <w:t>wa</w:t>
      </w:r>
      <w:r>
        <w:t xml:space="preserve">s causally associated with an adverse effect in humans. Furthermore, </w:t>
      </w:r>
      <w:r w:rsidR="004047D0">
        <w:t>both</w:t>
      </w:r>
      <w:r>
        <w:t xml:space="preserve"> agencies disagreed on the method for quantifying the risk and establishing an exposure level considered safe in humans.</w:t>
      </w:r>
      <w:r w:rsidR="004047D0">
        <w:t xml:space="preserve"> </w:t>
      </w:r>
    </w:p>
    <w:p w14:paraId="5C3D6356" w14:textId="77777777" w:rsidR="00105D00" w:rsidRDefault="00105D00" w:rsidP="00105D00">
      <w:pPr>
        <w:pStyle w:val="ListParagraph"/>
        <w:autoSpaceDE w:val="0"/>
        <w:autoSpaceDN w:val="0"/>
        <w:adjustRightInd w:val="0"/>
        <w:spacing w:line="480" w:lineRule="auto"/>
        <w:ind w:left="0"/>
      </w:pPr>
    </w:p>
    <w:p w14:paraId="5A3F01DB" w14:textId="38C61D0C" w:rsidR="008E38DB" w:rsidRPr="00C37CDC" w:rsidRDefault="00C37CDC" w:rsidP="001B1F3A">
      <w:pPr>
        <w:pStyle w:val="Heading2"/>
      </w:pPr>
      <w:r w:rsidRPr="00C37CDC">
        <w:t>German Federal Institute for Risk Assessment</w:t>
      </w:r>
      <w:r w:rsidR="00105D00" w:rsidRPr="00C37CDC">
        <w:t xml:space="preserve"> </w:t>
      </w:r>
      <w:r w:rsidRPr="00C37CDC">
        <w:t>(</w:t>
      </w:r>
      <w:r w:rsidR="00105D00" w:rsidRPr="00C37CDC">
        <w:t>BfR</w:t>
      </w:r>
      <w:r w:rsidRPr="00C37CDC">
        <w:t>)</w:t>
      </w:r>
    </w:p>
    <w:p w14:paraId="06D05D89" w14:textId="7E2D1525" w:rsidR="00D97D8C" w:rsidRDefault="00E3588A" w:rsidP="00D97D8C">
      <w:pPr>
        <w:pStyle w:val="ListParagraph"/>
        <w:numPr>
          <w:ilvl w:val="0"/>
          <w:numId w:val="46"/>
        </w:numPr>
        <w:autoSpaceDE w:val="0"/>
        <w:autoSpaceDN w:val="0"/>
        <w:adjustRightInd w:val="0"/>
        <w:spacing w:line="480" w:lineRule="auto"/>
        <w:ind w:left="0" w:hanging="11"/>
        <w:rPr>
          <w:rFonts w:cs="Arial"/>
        </w:rPr>
      </w:pPr>
      <w:r w:rsidRPr="00E3588A">
        <w:rPr>
          <w:rFonts w:cs="Arial"/>
        </w:rPr>
        <w:t>Both,</w:t>
      </w:r>
      <w:r w:rsidR="00C34F15">
        <w:rPr>
          <w:rFonts w:cs="Arial"/>
        </w:rPr>
        <w:t xml:space="preserve"> </w:t>
      </w:r>
      <w:r w:rsidRPr="00E3588A">
        <w:rPr>
          <w:rFonts w:cs="Arial"/>
        </w:rPr>
        <w:t>EFSA</w:t>
      </w:r>
      <w:r w:rsidR="00C34F15">
        <w:rPr>
          <w:rFonts w:cs="Arial"/>
        </w:rPr>
        <w:t xml:space="preserve"> </w:t>
      </w:r>
      <w:r w:rsidRPr="00E3588A">
        <w:rPr>
          <w:rFonts w:cs="Arial"/>
        </w:rPr>
        <w:t xml:space="preserve">and the BfR acknowledged that the interpretation of available information and risk assessment </w:t>
      </w:r>
      <w:r w:rsidR="00282E63">
        <w:rPr>
          <w:rFonts w:cs="Arial"/>
        </w:rPr>
        <w:t>we</w:t>
      </w:r>
      <w:r w:rsidRPr="00E3588A">
        <w:rPr>
          <w:rFonts w:cs="Arial"/>
        </w:rPr>
        <w:t xml:space="preserve">re linked to the tools and methodologies applied, </w:t>
      </w:r>
      <w:r w:rsidRPr="00E3588A">
        <w:rPr>
          <w:rFonts w:cs="Arial"/>
        </w:rPr>
        <w:lastRenderedPageBreak/>
        <w:t>resulting in the</w:t>
      </w:r>
      <w:r w:rsidR="009B25B1">
        <w:rPr>
          <w:rFonts w:cs="Arial"/>
        </w:rPr>
        <w:t>ir</w:t>
      </w:r>
      <w:r w:rsidRPr="00E3588A">
        <w:rPr>
          <w:rFonts w:cs="Arial"/>
        </w:rPr>
        <w:t xml:space="preserve"> divergence of opinion. The key points of divergence were the adverse effect definition, the inclusion/exclusion of scientific information, apical versus intermediate endpoint (reference point acceptability, adversity, relevance), reproductive toxicity endpoints, uncertainty analysis and choice of HED</w:t>
      </w:r>
      <w:r w:rsidR="00F75BB4">
        <w:rPr>
          <w:rFonts w:cs="Arial"/>
        </w:rPr>
        <w:t xml:space="preserve"> factor (HEDF)</w:t>
      </w:r>
      <w:r w:rsidRPr="00E3588A">
        <w:rPr>
          <w:rFonts w:cs="Arial"/>
        </w:rPr>
        <w:t>.</w:t>
      </w:r>
    </w:p>
    <w:p w14:paraId="78577D98" w14:textId="77777777" w:rsidR="00D97D8C" w:rsidRDefault="00D97D8C" w:rsidP="00D97D8C">
      <w:pPr>
        <w:pStyle w:val="ListParagraph"/>
        <w:autoSpaceDE w:val="0"/>
        <w:autoSpaceDN w:val="0"/>
        <w:adjustRightInd w:val="0"/>
        <w:spacing w:line="480" w:lineRule="auto"/>
        <w:ind w:left="0"/>
        <w:rPr>
          <w:rFonts w:cs="Arial"/>
        </w:rPr>
      </w:pPr>
    </w:p>
    <w:p w14:paraId="2B794176" w14:textId="4271113B" w:rsidR="009D0C4C" w:rsidRPr="00D97D8C" w:rsidRDefault="009B25B1" w:rsidP="00D97D8C">
      <w:pPr>
        <w:pStyle w:val="ListParagraph"/>
        <w:numPr>
          <w:ilvl w:val="0"/>
          <w:numId w:val="46"/>
        </w:numPr>
        <w:autoSpaceDE w:val="0"/>
        <w:autoSpaceDN w:val="0"/>
        <w:adjustRightInd w:val="0"/>
        <w:spacing w:line="480" w:lineRule="auto"/>
        <w:ind w:left="0" w:hanging="11"/>
        <w:rPr>
          <w:rFonts w:cs="Arial"/>
        </w:rPr>
      </w:pPr>
      <w:r w:rsidRPr="00D97D8C">
        <w:rPr>
          <w:rFonts w:cs="Arial"/>
        </w:rPr>
        <w:t>Due to</w:t>
      </w:r>
      <w:r w:rsidR="00891A08" w:rsidRPr="00D97D8C">
        <w:rPr>
          <w:rFonts w:cs="Arial"/>
        </w:rPr>
        <w:t xml:space="preserve"> their divergence with EFSA</w:t>
      </w:r>
      <w:r w:rsidR="001E605C">
        <w:rPr>
          <w:rFonts w:cs="Arial"/>
        </w:rPr>
        <w:t>’s assessment</w:t>
      </w:r>
      <w:r w:rsidR="00891A08" w:rsidRPr="00D97D8C">
        <w:rPr>
          <w:rFonts w:cs="Arial"/>
        </w:rPr>
        <w:t xml:space="preserve">, the BfR </w:t>
      </w:r>
      <w:r w:rsidR="009D0C4C">
        <w:t>did not support the new TDI set by EFSA and published their own assessment of BPA</w:t>
      </w:r>
      <w:r w:rsidR="006B4F24">
        <w:t xml:space="preserve"> in 2023</w:t>
      </w:r>
      <w:r w:rsidR="009D0C4C">
        <w:t xml:space="preserve">. The assessment provided a </w:t>
      </w:r>
      <w:r w:rsidR="009D0C4C" w:rsidRPr="0034747A">
        <w:t xml:space="preserve">re-evaluation of the critical endpoints identified by EFSA (2023) </w:t>
      </w:r>
      <w:r w:rsidR="009D0C4C">
        <w:t>and</w:t>
      </w:r>
      <w:r w:rsidR="009D0C4C" w:rsidRPr="0034747A">
        <w:t xml:space="preserve"> an independently</w:t>
      </w:r>
      <w:r w:rsidR="009D0C4C">
        <w:t xml:space="preserve"> </w:t>
      </w:r>
      <w:r w:rsidR="009D0C4C" w:rsidRPr="0034747A">
        <w:t>derived TDI.</w:t>
      </w:r>
      <w:r w:rsidR="00A92023" w:rsidRPr="00D97D8C">
        <w:rPr>
          <w:b/>
          <w:bCs/>
        </w:rPr>
        <w:t xml:space="preserve"> </w:t>
      </w:r>
    </w:p>
    <w:p w14:paraId="01E739DE" w14:textId="77777777" w:rsidR="00FF4B96" w:rsidRPr="00E421B9" w:rsidRDefault="00FF4B96" w:rsidP="00461E31">
      <w:pPr>
        <w:pStyle w:val="ListParagraph"/>
        <w:spacing w:line="480" w:lineRule="auto"/>
        <w:ind w:left="0"/>
        <w:rPr>
          <w:rFonts w:cs="Arial"/>
        </w:rPr>
      </w:pPr>
    </w:p>
    <w:p w14:paraId="6712C109" w14:textId="4958A5C0" w:rsidR="00FF4B96" w:rsidRPr="00E421B9" w:rsidRDefault="00732D4C" w:rsidP="00461E31">
      <w:pPr>
        <w:pStyle w:val="ListParagraph"/>
        <w:numPr>
          <w:ilvl w:val="0"/>
          <w:numId w:val="46"/>
        </w:numPr>
        <w:spacing w:line="480" w:lineRule="auto"/>
        <w:ind w:left="0" w:hanging="11"/>
        <w:rPr>
          <w:rFonts w:cs="Arial"/>
        </w:rPr>
      </w:pPr>
      <w:r>
        <w:rPr>
          <w:rFonts w:cs="Arial"/>
        </w:rPr>
        <w:t>T</w:t>
      </w:r>
      <w:r w:rsidR="00043FFC">
        <w:rPr>
          <w:rFonts w:cs="Arial"/>
        </w:rPr>
        <w:t>he BfR undertook a</w:t>
      </w:r>
      <w:r w:rsidR="00FF4B96" w:rsidRPr="00E421B9">
        <w:rPr>
          <w:rFonts w:cs="Arial"/>
        </w:rPr>
        <w:t xml:space="preserve"> literature </w:t>
      </w:r>
      <w:r w:rsidR="00D77C62" w:rsidRPr="00E421B9">
        <w:rPr>
          <w:rFonts w:cs="Arial"/>
        </w:rPr>
        <w:t>review,</w:t>
      </w:r>
      <w:r w:rsidR="00E751CD">
        <w:rPr>
          <w:rFonts w:cs="Arial"/>
        </w:rPr>
        <w:t xml:space="preserve"> and t</w:t>
      </w:r>
      <w:r w:rsidR="00BD1777" w:rsidRPr="00E421B9">
        <w:rPr>
          <w:rFonts w:cs="Arial"/>
        </w:rPr>
        <w:t xml:space="preserve">he reliability of the studies was assessed based on pre-defined </w:t>
      </w:r>
      <w:r w:rsidR="009C6560">
        <w:rPr>
          <w:rFonts w:cs="Arial"/>
        </w:rPr>
        <w:t>criteria</w:t>
      </w:r>
      <w:r w:rsidR="009C6560" w:rsidRPr="00E421B9">
        <w:rPr>
          <w:rFonts w:cs="Arial"/>
        </w:rPr>
        <w:t xml:space="preserve"> </w:t>
      </w:r>
      <w:r w:rsidR="00BD1777" w:rsidRPr="00E421B9">
        <w:rPr>
          <w:rFonts w:cs="Arial"/>
        </w:rPr>
        <w:t xml:space="preserve">and grouped </w:t>
      </w:r>
      <w:r w:rsidR="00E421B9">
        <w:rPr>
          <w:rFonts w:cs="Arial"/>
        </w:rPr>
        <w:t>i</w:t>
      </w:r>
      <w:r w:rsidR="00BD1777" w:rsidRPr="00E421B9">
        <w:rPr>
          <w:rFonts w:cs="Arial"/>
        </w:rPr>
        <w:t xml:space="preserve">nto three </w:t>
      </w:r>
      <w:r w:rsidR="00001911" w:rsidRPr="00E421B9">
        <w:rPr>
          <w:rFonts w:cs="Arial"/>
        </w:rPr>
        <w:t>t</w:t>
      </w:r>
      <w:r w:rsidR="00BD1777" w:rsidRPr="00E421B9">
        <w:rPr>
          <w:rFonts w:cs="Arial"/>
        </w:rPr>
        <w:t xml:space="preserve">iers reflecting the respective WoE. </w:t>
      </w:r>
      <w:r w:rsidR="007536D3" w:rsidRPr="00E421B9">
        <w:rPr>
          <w:rFonts w:cs="Arial"/>
        </w:rPr>
        <w:t>It should</w:t>
      </w:r>
      <w:r w:rsidR="009646AD">
        <w:rPr>
          <w:rFonts w:cs="Arial"/>
        </w:rPr>
        <w:t>,</w:t>
      </w:r>
      <w:r w:rsidR="007536D3" w:rsidRPr="00E421B9">
        <w:rPr>
          <w:rFonts w:cs="Arial"/>
        </w:rPr>
        <w:t xml:space="preserve"> however</w:t>
      </w:r>
      <w:r w:rsidR="009646AD">
        <w:rPr>
          <w:rFonts w:cs="Arial"/>
        </w:rPr>
        <w:t>,</w:t>
      </w:r>
      <w:r w:rsidR="007536D3" w:rsidRPr="00E421B9">
        <w:rPr>
          <w:rFonts w:cs="Arial"/>
        </w:rPr>
        <w:t xml:space="preserve"> be noted that the literature evaluation </w:t>
      </w:r>
      <w:r w:rsidR="00FD754D" w:rsidRPr="00E421B9">
        <w:rPr>
          <w:rFonts w:cs="Arial"/>
        </w:rPr>
        <w:t xml:space="preserve">and </w:t>
      </w:r>
      <w:r w:rsidR="00635805">
        <w:rPr>
          <w:rFonts w:cs="Arial"/>
        </w:rPr>
        <w:t>assessment</w:t>
      </w:r>
      <w:r w:rsidR="00635805" w:rsidRPr="00E421B9">
        <w:rPr>
          <w:rFonts w:cs="Arial"/>
        </w:rPr>
        <w:t xml:space="preserve"> </w:t>
      </w:r>
      <w:r w:rsidR="00635805">
        <w:rPr>
          <w:rFonts w:cs="Arial"/>
        </w:rPr>
        <w:t xml:space="preserve">were </w:t>
      </w:r>
      <w:r w:rsidR="007536D3" w:rsidRPr="00E421B9">
        <w:rPr>
          <w:rFonts w:cs="Arial"/>
        </w:rPr>
        <w:t xml:space="preserve">limited to </w:t>
      </w:r>
      <w:r w:rsidR="00713250" w:rsidRPr="00E421B9">
        <w:rPr>
          <w:rFonts w:cs="Arial"/>
        </w:rPr>
        <w:t xml:space="preserve">the critical endpoints identified by EFSA, i.e. </w:t>
      </w:r>
      <w:r w:rsidR="007536D3" w:rsidRPr="00E421B9">
        <w:rPr>
          <w:rFonts w:cs="Arial"/>
        </w:rPr>
        <w:t>reproductive toxicity, immunological effects, increased serum uric</w:t>
      </w:r>
      <w:r w:rsidR="00FF43E5" w:rsidRPr="00E421B9">
        <w:rPr>
          <w:rFonts w:cs="Arial"/>
        </w:rPr>
        <w:t xml:space="preserve"> acid</w:t>
      </w:r>
      <w:r w:rsidR="00713250" w:rsidRPr="00E421B9">
        <w:rPr>
          <w:rFonts w:cs="Arial"/>
        </w:rPr>
        <w:t>,</w:t>
      </w:r>
      <w:r w:rsidR="00FF43E5" w:rsidRPr="00E421B9">
        <w:rPr>
          <w:rFonts w:cs="Arial"/>
        </w:rPr>
        <w:t xml:space="preserve"> and toxicokinetics. For </w:t>
      </w:r>
      <w:r w:rsidR="009E1D5D" w:rsidRPr="00E421B9">
        <w:rPr>
          <w:rFonts w:cs="Arial"/>
        </w:rPr>
        <w:t>their</w:t>
      </w:r>
      <w:r w:rsidR="00FF43E5" w:rsidRPr="00E421B9">
        <w:rPr>
          <w:rFonts w:cs="Arial"/>
        </w:rPr>
        <w:t xml:space="preserve"> assessment</w:t>
      </w:r>
      <w:r w:rsidR="004E5F3F">
        <w:rPr>
          <w:rFonts w:cs="Arial"/>
        </w:rPr>
        <w:t>,</w:t>
      </w:r>
      <w:r w:rsidR="00FF43E5" w:rsidRPr="00E421B9">
        <w:rPr>
          <w:rFonts w:cs="Arial"/>
        </w:rPr>
        <w:t xml:space="preserve"> the BfR </w:t>
      </w:r>
      <w:r w:rsidR="002341FE">
        <w:rPr>
          <w:rFonts w:cs="Arial"/>
        </w:rPr>
        <w:t xml:space="preserve">also </w:t>
      </w:r>
      <w:r w:rsidR="00FF43E5" w:rsidRPr="00E421B9">
        <w:rPr>
          <w:rFonts w:cs="Arial"/>
        </w:rPr>
        <w:t xml:space="preserve">considered </w:t>
      </w:r>
      <w:r w:rsidR="009E1D5D" w:rsidRPr="00E421B9">
        <w:rPr>
          <w:rFonts w:cs="Arial"/>
        </w:rPr>
        <w:t>the</w:t>
      </w:r>
      <w:r w:rsidR="00FF43E5" w:rsidRPr="00E421B9">
        <w:rPr>
          <w:rFonts w:cs="Arial"/>
        </w:rPr>
        <w:t xml:space="preserve"> literature and data</w:t>
      </w:r>
      <w:r w:rsidR="00B33A58">
        <w:rPr>
          <w:rFonts w:cs="Arial"/>
        </w:rPr>
        <w:t xml:space="preserve"> available on these endpo</w:t>
      </w:r>
      <w:r w:rsidR="0071216F">
        <w:rPr>
          <w:rFonts w:cs="Arial"/>
        </w:rPr>
        <w:t>ints</w:t>
      </w:r>
      <w:r w:rsidR="009E1D5D" w:rsidRPr="00E421B9">
        <w:rPr>
          <w:rFonts w:cs="Arial"/>
        </w:rPr>
        <w:t xml:space="preserve"> from the EFSA 2015 and 2023 assessment</w:t>
      </w:r>
      <w:r w:rsidR="00F50AF6" w:rsidRPr="00E421B9">
        <w:rPr>
          <w:rFonts w:cs="Arial"/>
        </w:rPr>
        <w:t>s</w:t>
      </w:r>
      <w:r w:rsidR="009E1D5D" w:rsidRPr="00E421B9">
        <w:rPr>
          <w:rFonts w:cs="Arial"/>
        </w:rPr>
        <w:t>.</w:t>
      </w:r>
    </w:p>
    <w:p w14:paraId="00D962CE" w14:textId="77777777" w:rsidR="00CA3E8D" w:rsidRPr="00E421B9" w:rsidRDefault="00CA3E8D" w:rsidP="00461E31">
      <w:pPr>
        <w:pStyle w:val="ListParagraph"/>
        <w:spacing w:line="480" w:lineRule="auto"/>
        <w:rPr>
          <w:rFonts w:cs="Arial"/>
        </w:rPr>
      </w:pPr>
    </w:p>
    <w:p w14:paraId="593C7ECD" w14:textId="68DBA5A4" w:rsidR="00CA3E8D" w:rsidRPr="00E421B9" w:rsidRDefault="00CA3E8D" w:rsidP="00461E31">
      <w:pPr>
        <w:pStyle w:val="ListParagraph"/>
        <w:numPr>
          <w:ilvl w:val="0"/>
          <w:numId w:val="46"/>
        </w:numPr>
        <w:spacing w:line="480" w:lineRule="auto"/>
        <w:ind w:left="0" w:hanging="11"/>
        <w:rPr>
          <w:rFonts w:cs="Arial"/>
        </w:rPr>
      </w:pPr>
      <w:r w:rsidRPr="00E421B9">
        <w:rPr>
          <w:rFonts w:cs="Arial"/>
        </w:rPr>
        <w:t xml:space="preserve">The BfR </w:t>
      </w:r>
      <w:r w:rsidR="00712AFD" w:rsidRPr="00E421B9">
        <w:rPr>
          <w:rFonts w:cs="Arial"/>
        </w:rPr>
        <w:t>considered</w:t>
      </w:r>
      <w:r w:rsidR="0056165B" w:rsidRPr="00E421B9">
        <w:rPr>
          <w:rFonts w:cs="Arial"/>
        </w:rPr>
        <w:t xml:space="preserve"> the immunological studies to be </w:t>
      </w:r>
      <w:r w:rsidR="00712AFD" w:rsidRPr="00E421B9">
        <w:rPr>
          <w:rFonts w:cs="Arial"/>
        </w:rPr>
        <w:t>inconsistent</w:t>
      </w:r>
      <w:r w:rsidR="0056165B" w:rsidRPr="00E421B9">
        <w:rPr>
          <w:rFonts w:cs="Arial"/>
        </w:rPr>
        <w:t xml:space="preserve"> </w:t>
      </w:r>
      <w:r w:rsidR="006700EF" w:rsidRPr="00E421B9">
        <w:rPr>
          <w:rFonts w:cs="Arial"/>
        </w:rPr>
        <w:t xml:space="preserve">regarding effect size and dose </w:t>
      </w:r>
      <w:r w:rsidR="00635805">
        <w:rPr>
          <w:rFonts w:cs="Arial"/>
        </w:rPr>
        <w:t xml:space="preserve">response, </w:t>
      </w:r>
      <w:r w:rsidR="006700EF" w:rsidRPr="00E421B9">
        <w:rPr>
          <w:rFonts w:cs="Arial"/>
        </w:rPr>
        <w:t xml:space="preserve">as well as suffering from shortcomings in design and reporting. Given that the </w:t>
      </w:r>
      <w:r w:rsidR="00372FE6" w:rsidRPr="00E421B9">
        <w:rPr>
          <w:rFonts w:cs="Arial"/>
        </w:rPr>
        <w:t xml:space="preserve">increase in Th17 cells </w:t>
      </w:r>
      <w:r w:rsidR="006700EF" w:rsidRPr="00E421B9">
        <w:rPr>
          <w:rFonts w:cs="Arial"/>
        </w:rPr>
        <w:t>represent</w:t>
      </w:r>
      <w:r w:rsidR="002B4AC2">
        <w:rPr>
          <w:rFonts w:cs="Arial"/>
        </w:rPr>
        <w:t>ed</w:t>
      </w:r>
      <w:r w:rsidR="006700EF" w:rsidRPr="00E421B9">
        <w:rPr>
          <w:rFonts w:cs="Arial"/>
        </w:rPr>
        <w:t xml:space="preserve"> </w:t>
      </w:r>
      <w:r w:rsidR="009C6560" w:rsidRPr="00E421B9">
        <w:rPr>
          <w:rFonts w:cs="Arial"/>
        </w:rPr>
        <w:t xml:space="preserve">only </w:t>
      </w:r>
      <w:r w:rsidR="006700EF" w:rsidRPr="00E421B9">
        <w:rPr>
          <w:rFonts w:cs="Arial"/>
        </w:rPr>
        <w:t xml:space="preserve">an intermediate endpoint, for which a causal </w:t>
      </w:r>
      <w:r w:rsidR="00712AFD" w:rsidRPr="00E421B9">
        <w:rPr>
          <w:rFonts w:cs="Arial"/>
        </w:rPr>
        <w:t>link</w:t>
      </w:r>
      <w:r w:rsidR="006700EF" w:rsidRPr="00E421B9">
        <w:rPr>
          <w:rFonts w:cs="Arial"/>
        </w:rPr>
        <w:t xml:space="preserve"> to apical effects in </w:t>
      </w:r>
      <w:r w:rsidR="00D86CED" w:rsidRPr="00E421B9">
        <w:rPr>
          <w:rFonts w:cs="Arial"/>
        </w:rPr>
        <w:t xml:space="preserve">a </w:t>
      </w:r>
      <w:r w:rsidR="006700EF" w:rsidRPr="00E421B9">
        <w:rPr>
          <w:rFonts w:cs="Arial"/>
        </w:rPr>
        <w:t xml:space="preserve">dose range relevant to humans </w:t>
      </w:r>
      <w:r w:rsidR="002B4AC2">
        <w:rPr>
          <w:rFonts w:cs="Arial"/>
        </w:rPr>
        <w:t>wa</w:t>
      </w:r>
      <w:r w:rsidR="006700EF" w:rsidRPr="00E421B9">
        <w:rPr>
          <w:rFonts w:cs="Arial"/>
        </w:rPr>
        <w:t xml:space="preserve">s unclear, </w:t>
      </w:r>
      <w:r w:rsidR="00CC7F8E" w:rsidRPr="00E421B9">
        <w:rPr>
          <w:rFonts w:cs="Arial"/>
        </w:rPr>
        <w:t>the BfR considered immunological effects in humans, if they occur</w:t>
      </w:r>
      <w:r w:rsidR="00CC533C">
        <w:rPr>
          <w:rFonts w:cs="Arial"/>
        </w:rPr>
        <w:t>r</w:t>
      </w:r>
      <w:r w:rsidR="002B4AC2">
        <w:rPr>
          <w:rFonts w:cs="Arial"/>
        </w:rPr>
        <w:t>ed</w:t>
      </w:r>
      <w:r w:rsidR="00CC7F8E" w:rsidRPr="00E421B9">
        <w:rPr>
          <w:rFonts w:cs="Arial"/>
        </w:rPr>
        <w:t>, unlikely to result from BPA i</w:t>
      </w:r>
      <w:r w:rsidR="00712AFD" w:rsidRPr="00E421B9">
        <w:rPr>
          <w:rFonts w:cs="Arial"/>
        </w:rPr>
        <w:t>n</w:t>
      </w:r>
      <w:r w:rsidR="00E05D86" w:rsidRPr="00E421B9">
        <w:rPr>
          <w:rFonts w:cs="Arial"/>
        </w:rPr>
        <w:t xml:space="preserve"> the exposure range of the EFSA TDI. Hence, the BfR </w:t>
      </w:r>
      <w:r w:rsidR="00151C44" w:rsidRPr="00E421B9">
        <w:rPr>
          <w:rFonts w:cs="Arial"/>
        </w:rPr>
        <w:lastRenderedPageBreak/>
        <w:t>considered effects on the male reproductive system (</w:t>
      </w:r>
      <w:r w:rsidR="00D97A7D">
        <w:rPr>
          <w:rFonts w:cs="Arial"/>
        </w:rPr>
        <w:t>i.</w:t>
      </w:r>
      <w:r w:rsidR="00151C44" w:rsidRPr="00E421B9">
        <w:rPr>
          <w:rFonts w:cs="Arial"/>
        </w:rPr>
        <w:t xml:space="preserve">e. </w:t>
      </w:r>
      <w:r w:rsidR="002F5980" w:rsidRPr="00E421B9">
        <w:rPr>
          <w:rFonts w:cs="Arial"/>
        </w:rPr>
        <w:t xml:space="preserve">decreased </w:t>
      </w:r>
      <w:r w:rsidR="00151C44" w:rsidRPr="00E421B9">
        <w:rPr>
          <w:rFonts w:cs="Arial"/>
        </w:rPr>
        <w:t>sperm count and m</w:t>
      </w:r>
      <w:r w:rsidR="00A17194">
        <w:rPr>
          <w:rFonts w:cs="Arial"/>
        </w:rPr>
        <w:t>oti</w:t>
      </w:r>
      <w:r w:rsidR="00151C44" w:rsidRPr="00E421B9">
        <w:rPr>
          <w:rFonts w:cs="Arial"/>
        </w:rPr>
        <w:t xml:space="preserve">lity, </w:t>
      </w:r>
      <w:r w:rsidR="00FA1478">
        <w:rPr>
          <w:rFonts w:cs="Arial"/>
        </w:rPr>
        <w:t>sperm viability,</w:t>
      </w:r>
      <w:r w:rsidR="00D97A7D">
        <w:rPr>
          <w:rFonts w:cs="Arial"/>
        </w:rPr>
        <w:t xml:space="preserve"> sperm morphology, </w:t>
      </w:r>
      <w:r w:rsidR="004A7153" w:rsidRPr="00E421B9">
        <w:rPr>
          <w:rFonts w:cs="Arial"/>
        </w:rPr>
        <w:t xml:space="preserve">changes to </w:t>
      </w:r>
      <w:r w:rsidR="00151C44" w:rsidRPr="00E421B9">
        <w:rPr>
          <w:rFonts w:cs="Arial"/>
        </w:rPr>
        <w:t>testis histology</w:t>
      </w:r>
      <w:r w:rsidR="00D97A7D">
        <w:rPr>
          <w:rFonts w:cs="Arial"/>
        </w:rPr>
        <w:t xml:space="preserve"> and weight</w:t>
      </w:r>
      <w:r w:rsidR="00151C44" w:rsidRPr="00E421B9">
        <w:rPr>
          <w:rFonts w:cs="Arial"/>
        </w:rPr>
        <w:t>) as the most sensitive endpoint</w:t>
      </w:r>
      <w:r w:rsidR="00782077" w:rsidRPr="00E421B9">
        <w:rPr>
          <w:rFonts w:cs="Arial"/>
        </w:rPr>
        <w:t xml:space="preserve"> and based its TDI derivation on reduced sperm count observed in two studies in rats</w:t>
      </w:r>
      <w:r w:rsidR="006A1CE6">
        <w:rPr>
          <w:rFonts w:cs="Arial"/>
        </w:rPr>
        <w:t xml:space="preserve"> (</w:t>
      </w:r>
      <w:r w:rsidR="0069455E">
        <w:rPr>
          <w:rFonts w:cs="Arial"/>
        </w:rPr>
        <w:t xml:space="preserve">Liu et al., 2013; </w:t>
      </w:r>
      <w:r w:rsidR="009A74A6">
        <w:rPr>
          <w:rFonts w:cs="Arial"/>
        </w:rPr>
        <w:t xml:space="preserve">Srivastava and Gupta, </w:t>
      </w:r>
      <w:r w:rsidR="0069455E">
        <w:rPr>
          <w:rFonts w:cs="Arial"/>
        </w:rPr>
        <w:t>2018</w:t>
      </w:r>
      <w:r w:rsidR="006A1CE6">
        <w:rPr>
          <w:rFonts w:cs="Arial"/>
        </w:rPr>
        <w:t>)</w:t>
      </w:r>
      <w:r w:rsidR="00782077" w:rsidRPr="00E421B9">
        <w:rPr>
          <w:rFonts w:cs="Arial"/>
        </w:rPr>
        <w:t xml:space="preserve">. </w:t>
      </w:r>
      <w:r w:rsidR="009D62C5">
        <w:rPr>
          <w:rFonts w:cs="Arial"/>
        </w:rPr>
        <w:t>D</w:t>
      </w:r>
      <w:r w:rsidR="00FC0DFA" w:rsidRPr="00E421B9">
        <w:rPr>
          <w:rFonts w:cs="Arial"/>
        </w:rPr>
        <w:t>ose-response analysis per</w:t>
      </w:r>
      <w:r w:rsidR="00C675F1" w:rsidRPr="00E421B9">
        <w:rPr>
          <w:rFonts w:cs="Arial"/>
        </w:rPr>
        <w:t xml:space="preserve">formed on these two studies by BMD modelling </w:t>
      </w:r>
      <w:r w:rsidR="009516B7">
        <w:rPr>
          <w:rFonts w:cs="Arial"/>
        </w:rPr>
        <w:t>resulted in</w:t>
      </w:r>
      <w:r w:rsidR="00635805" w:rsidRPr="00E421B9">
        <w:rPr>
          <w:rFonts w:cs="Arial"/>
        </w:rPr>
        <w:t xml:space="preserve"> </w:t>
      </w:r>
      <w:r w:rsidR="00C675F1" w:rsidRPr="00E421B9">
        <w:rPr>
          <w:rFonts w:cs="Arial"/>
        </w:rPr>
        <w:t>a BMDL</w:t>
      </w:r>
      <w:r w:rsidR="00C675F1" w:rsidRPr="00E421B9">
        <w:rPr>
          <w:rFonts w:cs="Arial"/>
          <w:vertAlign w:val="subscript"/>
        </w:rPr>
        <w:t xml:space="preserve">10 </w:t>
      </w:r>
      <w:r w:rsidR="00C675F1" w:rsidRPr="00E421B9">
        <w:rPr>
          <w:rFonts w:cs="Arial"/>
        </w:rPr>
        <w:t xml:space="preserve">of 26 µg/kg bw per day </w:t>
      </w:r>
      <w:r w:rsidR="00635805">
        <w:rPr>
          <w:rFonts w:cs="Arial"/>
        </w:rPr>
        <w:t xml:space="preserve">for </w:t>
      </w:r>
      <w:r w:rsidR="001C700B">
        <w:rPr>
          <w:rFonts w:cs="Arial"/>
        </w:rPr>
        <w:t>one</w:t>
      </w:r>
      <w:r w:rsidR="009D62C5">
        <w:rPr>
          <w:rFonts w:cs="Arial"/>
        </w:rPr>
        <w:t xml:space="preserve"> study</w:t>
      </w:r>
      <w:r w:rsidR="00F823D5">
        <w:rPr>
          <w:rFonts w:cs="Arial"/>
        </w:rPr>
        <w:t xml:space="preserve"> (Liu et al., 2013)</w:t>
      </w:r>
      <w:r w:rsidR="00635805">
        <w:rPr>
          <w:rFonts w:cs="Arial"/>
        </w:rPr>
        <w:t xml:space="preserve">, </w:t>
      </w:r>
      <w:r w:rsidR="00C675F1" w:rsidRPr="00E421B9">
        <w:rPr>
          <w:rFonts w:cs="Arial"/>
        </w:rPr>
        <w:t xml:space="preserve">and a </w:t>
      </w:r>
      <w:r w:rsidR="008356B7">
        <w:rPr>
          <w:rFonts w:cs="Arial"/>
        </w:rPr>
        <w:t>no ob</w:t>
      </w:r>
      <w:r w:rsidR="000028D7">
        <w:rPr>
          <w:rFonts w:cs="Arial"/>
        </w:rPr>
        <w:t>s</w:t>
      </w:r>
      <w:r w:rsidR="008356B7">
        <w:rPr>
          <w:rFonts w:cs="Arial"/>
        </w:rPr>
        <w:t>erved adverse effect level (</w:t>
      </w:r>
      <w:r w:rsidR="00C675F1" w:rsidRPr="00E421B9">
        <w:rPr>
          <w:rFonts w:cs="Arial"/>
        </w:rPr>
        <w:t>NOAEL</w:t>
      </w:r>
      <w:r w:rsidR="008356B7">
        <w:rPr>
          <w:rFonts w:cs="Arial"/>
        </w:rPr>
        <w:t>)</w:t>
      </w:r>
      <w:r w:rsidR="00C675F1" w:rsidRPr="00E421B9">
        <w:rPr>
          <w:rFonts w:cs="Arial"/>
        </w:rPr>
        <w:t xml:space="preserve"> of 50 µg/kg bw per day</w:t>
      </w:r>
      <w:r w:rsidR="003F64C8" w:rsidRPr="00E421B9">
        <w:rPr>
          <w:rFonts w:cs="Arial"/>
        </w:rPr>
        <w:t xml:space="preserve"> </w:t>
      </w:r>
      <w:r w:rsidR="00841168">
        <w:rPr>
          <w:rFonts w:cs="Arial"/>
        </w:rPr>
        <w:t xml:space="preserve">for the </w:t>
      </w:r>
      <w:r w:rsidR="0021443D">
        <w:rPr>
          <w:rFonts w:cs="Arial"/>
        </w:rPr>
        <w:t>other</w:t>
      </w:r>
      <w:r w:rsidR="00841168">
        <w:rPr>
          <w:rFonts w:cs="Arial"/>
        </w:rPr>
        <w:t xml:space="preserve"> study</w:t>
      </w:r>
      <w:r w:rsidR="00F823D5">
        <w:rPr>
          <w:rFonts w:cs="Arial"/>
        </w:rPr>
        <w:t xml:space="preserve"> (Srivastava and Gupta, 2018)</w:t>
      </w:r>
      <w:r w:rsidR="00841168">
        <w:rPr>
          <w:rFonts w:cs="Arial"/>
        </w:rPr>
        <w:t>; data from the second study did not meet the BfR’s criteria for BMD modelling</w:t>
      </w:r>
      <w:r w:rsidR="003F64C8" w:rsidRPr="00E421B9">
        <w:rPr>
          <w:rFonts w:cs="Arial"/>
        </w:rPr>
        <w:t>.</w:t>
      </w:r>
    </w:p>
    <w:p w14:paraId="2D37474A" w14:textId="77777777" w:rsidR="00BF0616" w:rsidRPr="00E421B9" w:rsidRDefault="00BF0616" w:rsidP="00461E31">
      <w:pPr>
        <w:pStyle w:val="ListParagraph"/>
        <w:spacing w:line="480" w:lineRule="auto"/>
        <w:rPr>
          <w:rFonts w:cs="Arial"/>
        </w:rPr>
      </w:pPr>
    </w:p>
    <w:p w14:paraId="503F24CA" w14:textId="5BB07823" w:rsidR="00B947FE" w:rsidRPr="00720822" w:rsidRDefault="00BE1A24" w:rsidP="00720822">
      <w:pPr>
        <w:pStyle w:val="ListParagraph"/>
        <w:numPr>
          <w:ilvl w:val="0"/>
          <w:numId w:val="46"/>
        </w:numPr>
        <w:spacing w:line="480" w:lineRule="auto"/>
        <w:ind w:left="0" w:hanging="11"/>
        <w:rPr>
          <w:rFonts w:cs="Arial"/>
        </w:rPr>
      </w:pPr>
      <w:r>
        <w:rPr>
          <w:rFonts w:cs="Arial"/>
        </w:rPr>
        <w:t>T</w:t>
      </w:r>
      <w:r w:rsidR="00047B4B">
        <w:rPr>
          <w:rFonts w:cs="Arial"/>
        </w:rPr>
        <w:t>h</w:t>
      </w:r>
      <w:r w:rsidR="00A63262" w:rsidRPr="006E2337">
        <w:rPr>
          <w:rFonts w:cs="Arial"/>
        </w:rPr>
        <w:t xml:space="preserve">e BfR </w:t>
      </w:r>
      <w:r w:rsidR="00564AB9" w:rsidRPr="006E2337">
        <w:rPr>
          <w:rFonts w:cs="Arial"/>
        </w:rPr>
        <w:t>applied a probabilistic uncertainty approach (</w:t>
      </w:r>
      <w:hyperlink r:id="rId33" w:history="1">
        <w:r w:rsidR="00564AB9" w:rsidRPr="00FE20FD">
          <w:rPr>
            <w:rStyle w:val="Hyperlink"/>
            <w:rFonts w:cs="Arial"/>
          </w:rPr>
          <w:t>WHO IP</w:t>
        </w:r>
        <w:r w:rsidR="009D62C5" w:rsidRPr="00FE20FD">
          <w:rPr>
            <w:rStyle w:val="Hyperlink"/>
            <w:rFonts w:cs="Arial"/>
          </w:rPr>
          <w:t>C</w:t>
        </w:r>
        <w:r w:rsidR="00564AB9" w:rsidRPr="00FE20FD">
          <w:rPr>
            <w:rStyle w:val="Hyperlink"/>
            <w:rFonts w:cs="Arial"/>
          </w:rPr>
          <w:t>S/APROBA</w:t>
        </w:r>
      </w:hyperlink>
      <w:r w:rsidR="00564AB9" w:rsidRPr="006E2337">
        <w:rPr>
          <w:rFonts w:cs="Arial"/>
        </w:rPr>
        <w:t xml:space="preserve">), </w:t>
      </w:r>
      <w:r w:rsidR="003469CE" w:rsidRPr="006E2337">
        <w:rPr>
          <w:rFonts w:cs="Arial"/>
        </w:rPr>
        <w:t>us</w:t>
      </w:r>
      <w:r w:rsidR="00564AB9" w:rsidRPr="006E2337">
        <w:rPr>
          <w:rFonts w:cs="Arial"/>
        </w:rPr>
        <w:t>ing</w:t>
      </w:r>
      <w:r w:rsidR="003469CE" w:rsidRPr="006E2337">
        <w:rPr>
          <w:rFonts w:cs="Arial"/>
        </w:rPr>
        <w:t xml:space="preserve"> a range of probabilistic distributions</w:t>
      </w:r>
      <w:r w:rsidR="00DD73E2" w:rsidRPr="006E2337">
        <w:rPr>
          <w:rFonts w:cs="Arial"/>
        </w:rPr>
        <w:t>,</w:t>
      </w:r>
      <w:r w:rsidR="00EC56C7" w:rsidRPr="006E2337">
        <w:rPr>
          <w:rFonts w:cs="Arial"/>
        </w:rPr>
        <w:t xml:space="preserve"> </w:t>
      </w:r>
      <w:r w:rsidR="009D62C5" w:rsidRPr="006E2337">
        <w:rPr>
          <w:rFonts w:cs="Arial"/>
        </w:rPr>
        <w:t xml:space="preserve">considering </w:t>
      </w:r>
      <w:r w:rsidR="00EC56C7" w:rsidRPr="006E2337">
        <w:rPr>
          <w:rFonts w:cs="Arial"/>
        </w:rPr>
        <w:t xml:space="preserve">uncertainty </w:t>
      </w:r>
      <w:r w:rsidR="009D62C5" w:rsidRPr="006E2337">
        <w:rPr>
          <w:rFonts w:cs="Arial"/>
        </w:rPr>
        <w:t xml:space="preserve">in </w:t>
      </w:r>
      <w:r w:rsidR="00EC56C7" w:rsidRPr="006E2337">
        <w:rPr>
          <w:rFonts w:cs="Arial"/>
        </w:rPr>
        <w:t xml:space="preserve">both </w:t>
      </w:r>
      <w:r w:rsidR="009D62C5" w:rsidRPr="006E2337">
        <w:rPr>
          <w:rFonts w:cs="Arial"/>
        </w:rPr>
        <w:t xml:space="preserve">directions, such that the value could be </w:t>
      </w:r>
      <w:r w:rsidR="00EC56C7" w:rsidRPr="006E2337">
        <w:rPr>
          <w:rFonts w:cs="Arial"/>
        </w:rPr>
        <w:t>increase</w:t>
      </w:r>
      <w:r w:rsidR="009D62C5" w:rsidRPr="006E2337">
        <w:rPr>
          <w:rFonts w:cs="Arial"/>
        </w:rPr>
        <w:t>d</w:t>
      </w:r>
      <w:r w:rsidR="00EC56C7" w:rsidRPr="006E2337">
        <w:rPr>
          <w:rFonts w:cs="Arial"/>
        </w:rPr>
        <w:t xml:space="preserve"> or decrease</w:t>
      </w:r>
      <w:r w:rsidR="009D62C5" w:rsidRPr="006E2337">
        <w:rPr>
          <w:rFonts w:cs="Arial"/>
        </w:rPr>
        <w:t>d</w:t>
      </w:r>
      <w:r w:rsidR="00DD73E2" w:rsidRPr="006E2337">
        <w:rPr>
          <w:rFonts w:cs="Arial"/>
        </w:rPr>
        <w:t xml:space="preserve">, thereby integrating the </w:t>
      </w:r>
      <w:r w:rsidR="00BC2FB9" w:rsidRPr="006E2337">
        <w:rPr>
          <w:rFonts w:cs="Arial"/>
        </w:rPr>
        <w:t>uncertainty analysis and derivation of the TDI.</w:t>
      </w:r>
      <w:r w:rsidR="00720822" w:rsidRPr="006E2337">
        <w:rPr>
          <w:rFonts w:cs="Arial"/>
        </w:rPr>
        <w:t xml:space="preserve"> </w:t>
      </w:r>
      <w:r w:rsidR="000B4811" w:rsidRPr="00720822">
        <w:rPr>
          <w:rFonts w:cs="Arial"/>
        </w:rPr>
        <w:t xml:space="preserve">In contrast </w:t>
      </w:r>
      <w:r w:rsidR="00B947FE" w:rsidRPr="00720822">
        <w:rPr>
          <w:rFonts w:cs="Arial"/>
        </w:rPr>
        <w:t>to EFSA, the BfR did not apply a single HED</w:t>
      </w:r>
      <w:r w:rsidR="009061A5">
        <w:rPr>
          <w:rFonts w:cs="Arial"/>
        </w:rPr>
        <w:t>F</w:t>
      </w:r>
      <w:r w:rsidR="00B947FE" w:rsidRPr="00720822">
        <w:rPr>
          <w:rFonts w:cs="Arial"/>
        </w:rPr>
        <w:t xml:space="preserve"> </w:t>
      </w:r>
      <w:r w:rsidR="00D44DE3">
        <w:rPr>
          <w:rFonts w:cs="Arial"/>
        </w:rPr>
        <w:t>in</w:t>
      </w:r>
      <w:r w:rsidR="00D44DE3" w:rsidRPr="00720822">
        <w:rPr>
          <w:rFonts w:cs="Arial"/>
        </w:rPr>
        <w:t xml:space="preserve"> </w:t>
      </w:r>
      <w:r w:rsidR="00A76D7F" w:rsidRPr="00720822">
        <w:rPr>
          <w:rFonts w:cs="Arial"/>
        </w:rPr>
        <w:t>the derivation of the TDI within the uncertainty analysis but applied the 5</w:t>
      </w:r>
      <w:r w:rsidR="00A76D7F" w:rsidRPr="00720822">
        <w:rPr>
          <w:rFonts w:cs="Arial"/>
          <w:vertAlign w:val="superscript"/>
        </w:rPr>
        <w:t>th</w:t>
      </w:r>
      <w:r w:rsidR="00A76D7F" w:rsidRPr="00720822">
        <w:rPr>
          <w:rFonts w:cs="Arial"/>
        </w:rPr>
        <w:t xml:space="preserve"> and 95</w:t>
      </w:r>
      <w:r w:rsidR="00A76D7F" w:rsidRPr="00720822">
        <w:rPr>
          <w:rFonts w:cs="Arial"/>
          <w:vertAlign w:val="superscript"/>
        </w:rPr>
        <w:t>th</w:t>
      </w:r>
      <w:r w:rsidR="00A76D7F" w:rsidRPr="00720822">
        <w:rPr>
          <w:rFonts w:cs="Arial"/>
        </w:rPr>
        <w:t xml:space="preserve"> percentile and median </w:t>
      </w:r>
      <w:r w:rsidR="00A00604" w:rsidRPr="00720822">
        <w:rPr>
          <w:rFonts w:cs="Arial"/>
        </w:rPr>
        <w:t>HED</w:t>
      </w:r>
      <w:r w:rsidR="00D44DE3">
        <w:rPr>
          <w:rFonts w:cs="Arial"/>
        </w:rPr>
        <w:t xml:space="preserve"> factor</w:t>
      </w:r>
      <w:r w:rsidR="00A00604" w:rsidRPr="00720822">
        <w:rPr>
          <w:rFonts w:cs="Arial"/>
        </w:rPr>
        <w:t>s</w:t>
      </w:r>
      <w:r w:rsidR="00894C51" w:rsidRPr="00720822">
        <w:rPr>
          <w:rFonts w:cs="Arial"/>
        </w:rPr>
        <w:t>, together with typ</w:t>
      </w:r>
      <w:r w:rsidR="00781CBD" w:rsidRPr="00720822">
        <w:rPr>
          <w:rFonts w:cs="Arial"/>
        </w:rPr>
        <w:t>ical uncertainties, e.g. interhuman variability, study duration.</w:t>
      </w:r>
    </w:p>
    <w:p w14:paraId="217339D1" w14:textId="77777777" w:rsidR="00B947FE" w:rsidRPr="00E421B9" w:rsidRDefault="00B947FE" w:rsidP="00461E31">
      <w:pPr>
        <w:pStyle w:val="ListParagraph"/>
        <w:spacing w:line="480" w:lineRule="auto"/>
        <w:rPr>
          <w:rFonts w:cs="Arial"/>
        </w:rPr>
      </w:pPr>
    </w:p>
    <w:p w14:paraId="19152E31" w14:textId="2E4831A3" w:rsidR="005E785B" w:rsidRPr="00A92023" w:rsidRDefault="006C72C7" w:rsidP="00B31B67">
      <w:pPr>
        <w:pStyle w:val="ListParagraph"/>
        <w:numPr>
          <w:ilvl w:val="0"/>
          <w:numId w:val="46"/>
        </w:numPr>
        <w:spacing w:line="480" w:lineRule="auto"/>
        <w:ind w:left="0" w:hanging="11"/>
        <w:rPr>
          <w:rFonts w:cs="Arial"/>
        </w:rPr>
      </w:pPr>
      <w:r w:rsidRPr="00A92023">
        <w:rPr>
          <w:rFonts w:cs="Arial"/>
        </w:rPr>
        <w:t>Due to the conservatism in the</w:t>
      </w:r>
      <w:r w:rsidR="00421968">
        <w:rPr>
          <w:rFonts w:cs="Arial"/>
        </w:rPr>
        <w:t>ir</w:t>
      </w:r>
      <w:r w:rsidRPr="00A92023">
        <w:rPr>
          <w:rFonts w:cs="Arial"/>
        </w:rPr>
        <w:t xml:space="preserve"> </w:t>
      </w:r>
      <w:r w:rsidR="00770E6F" w:rsidRPr="00A92023">
        <w:rPr>
          <w:rFonts w:cs="Arial"/>
        </w:rPr>
        <w:t>assessment the BfR considered the</w:t>
      </w:r>
      <w:r w:rsidR="00D32353" w:rsidRPr="00A92023">
        <w:rPr>
          <w:rFonts w:cs="Arial"/>
        </w:rPr>
        <w:t xml:space="preserve"> resulting TDI of 0.2 µg/kg bw per day t</w:t>
      </w:r>
      <w:r w:rsidR="00770E6F" w:rsidRPr="00A92023">
        <w:rPr>
          <w:rFonts w:cs="Arial"/>
        </w:rPr>
        <w:t xml:space="preserve">o be </w:t>
      </w:r>
      <w:r w:rsidR="00A4395C" w:rsidRPr="00A92023">
        <w:rPr>
          <w:rFonts w:eastAsia="Arial" w:cs="Arial"/>
        </w:rPr>
        <w:t>protective of 99</w:t>
      </w:r>
      <w:r w:rsidR="007B1625">
        <w:rPr>
          <w:rFonts w:eastAsia="Arial" w:cs="Arial"/>
        </w:rPr>
        <w:t xml:space="preserve"> </w:t>
      </w:r>
      <w:r w:rsidR="00A4395C" w:rsidRPr="00A92023">
        <w:rPr>
          <w:rFonts w:eastAsia="Arial" w:cs="Arial"/>
        </w:rPr>
        <w:t>% of the population, with 95</w:t>
      </w:r>
      <w:r w:rsidR="007B1625">
        <w:rPr>
          <w:rFonts w:eastAsia="Arial" w:cs="Arial"/>
        </w:rPr>
        <w:t xml:space="preserve"> </w:t>
      </w:r>
      <w:r w:rsidR="00A4395C" w:rsidRPr="00A92023">
        <w:rPr>
          <w:rFonts w:eastAsia="Arial" w:cs="Arial"/>
        </w:rPr>
        <w:t xml:space="preserve">% confidence. The TDI would also be protective for any other relevant effects/toxicological endpoints, including intermediate endpoints. </w:t>
      </w:r>
      <w:r w:rsidR="003E1F32">
        <w:rPr>
          <w:rFonts w:eastAsia="Arial" w:cs="Arial"/>
        </w:rPr>
        <w:t xml:space="preserve">Should </w:t>
      </w:r>
      <w:r w:rsidR="00D44DE3" w:rsidRPr="00A92023">
        <w:rPr>
          <w:rFonts w:eastAsia="Arial" w:cs="Arial"/>
        </w:rPr>
        <w:t xml:space="preserve">BPA cause </w:t>
      </w:r>
      <w:r w:rsidR="00C90854" w:rsidRPr="00A92023">
        <w:rPr>
          <w:rFonts w:eastAsia="Arial" w:cs="Arial"/>
        </w:rPr>
        <w:t>any</w:t>
      </w:r>
      <w:r w:rsidR="00FA5EA4" w:rsidRPr="00A92023">
        <w:rPr>
          <w:rFonts w:eastAsia="Arial" w:cs="Arial"/>
        </w:rPr>
        <w:t xml:space="preserve"> adverse immunological effects in humans, </w:t>
      </w:r>
      <w:r w:rsidR="00594C1E" w:rsidRPr="00A92023">
        <w:rPr>
          <w:rFonts w:eastAsia="Arial" w:cs="Arial"/>
        </w:rPr>
        <w:t xml:space="preserve">the BfR considered it </w:t>
      </w:r>
      <w:r w:rsidR="00C90854" w:rsidRPr="00A92023">
        <w:rPr>
          <w:rFonts w:eastAsia="Arial" w:cs="Arial"/>
        </w:rPr>
        <w:t>unlikely this would be at exposures in the range of the TDI.</w:t>
      </w:r>
    </w:p>
    <w:p w14:paraId="4F2D0199" w14:textId="77777777" w:rsidR="00A92023" w:rsidRPr="00A92023" w:rsidRDefault="00A92023" w:rsidP="00A92023">
      <w:pPr>
        <w:pStyle w:val="ListParagraph"/>
        <w:spacing w:line="480" w:lineRule="auto"/>
        <w:ind w:left="0"/>
        <w:rPr>
          <w:rFonts w:cs="Arial"/>
        </w:rPr>
      </w:pPr>
    </w:p>
    <w:p w14:paraId="78922152" w14:textId="54B22CFB" w:rsidR="005E785B" w:rsidRDefault="00345AD7" w:rsidP="001B1F3A">
      <w:pPr>
        <w:pStyle w:val="Heading2"/>
      </w:pPr>
      <w:r w:rsidRPr="00345AD7">
        <w:lastRenderedPageBreak/>
        <w:t>U</w:t>
      </w:r>
      <w:r w:rsidR="00BD27DF">
        <w:t xml:space="preserve">nited </w:t>
      </w:r>
      <w:r w:rsidRPr="00345AD7">
        <w:t>S</w:t>
      </w:r>
      <w:r w:rsidR="00BD27DF">
        <w:t>tates</w:t>
      </w:r>
      <w:r w:rsidRPr="00345AD7">
        <w:t xml:space="preserve"> Food and Drug Administration (</w:t>
      </w:r>
      <w:r w:rsidR="00E12772" w:rsidRPr="00345AD7">
        <w:t>F</w:t>
      </w:r>
      <w:r w:rsidR="00201F54" w:rsidRPr="00345AD7">
        <w:t>D</w:t>
      </w:r>
      <w:r w:rsidR="00E12772" w:rsidRPr="00345AD7">
        <w:t>A</w:t>
      </w:r>
      <w:r w:rsidRPr="00345AD7">
        <w:t>)</w:t>
      </w:r>
      <w:r w:rsidR="00E12772" w:rsidRPr="00345AD7">
        <w:t xml:space="preserve"> </w:t>
      </w:r>
    </w:p>
    <w:p w14:paraId="4FC9F770" w14:textId="77777777" w:rsidR="00C22F7A" w:rsidRPr="00C22F7A" w:rsidRDefault="00C22F7A" w:rsidP="00C22F7A"/>
    <w:p w14:paraId="333465A6" w14:textId="22007C30" w:rsidR="005E785B" w:rsidRDefault="003D525C" w:rsidP="00461E31">
      <w:pPr>
        <w:pStyle w:val="ListParagraph"/>
        <w:numPr>
          <w:ilvl w:val="0"/>
          <w:numId w:val="46"/>
        </w:numPr>
        <w:spacing w:line="480" w:lineRule="auto"/>
        <w:ind w:left="0" w:hanging="11"/>
        <w:rPr>
          <w:rFonts w:cs="Arial"/>
        </w:rPr>
      </w:pPr>
      <w:r>
        <w:rPr>
          <w:rFonts w:cs="Arial"/>
        </w:rPr>
        <w:t>In 2024, f</w:t>
      </w:r>
      <w:r w:rsidR="00D1075C">
        <w:rPr>
          <w:rFonts w:cs="Arial"/>
        </w:rPr>
        <w:t xml:space="preserve">ollowing the publication of both EFSA’s and the BfR’s evaluations of BPA, the </w:t>
      </w:r>
      <w:r w:rsidR="00E416EE">
        <w:rPr>
          <w:rFonts w:cs="Arial"/>
        </w:rPr>
        <w:t>U</w:t>
      </w:r>
      <w:r w:rsidR="00D92A95">
        <w:rPr>
          <w:rFonts w:cs="Arial"/>
        </w:rPr>
        <w:t xml:space="preserve">nited </w:t>
      </w:r>
      <w:r w:rsidR="00E416EE">
        <w:rPr>
          <w:rFonts w:cs="Arial"/>
        </w:rPr>
        <w:t>S</w:t>
      </w:r>
      <w:r w:rsidR="00D92A95">
        <w:rPr>
          <w:rFonts w:cs="Arial"/>
        </w:rPr>
        <w:t>tates</w:t>
      </w:r>
      <w:r w:rsidR="00E416EE">
        <w:rPr>
          <w:rFonts w:cs="Arial"/>
        </w:rPr>
        <w:t xml:space="preserve"> Food and Drug Administration (</w:t>
      </w:r>
      <w:r w:rsidR="00BD27DF">
        <w:rPr>
          <w:rFonts w:cs="Arial"/>
        </w:rPr>
        <w:t xml:space="preserve">US </w:t>
      </w:r>
      <w:r w:rsidR="00D1075C">
        <w:rPr>
          <w:rFonts w:cs="Arial"/>
        </w:rPr>
        <w:t>FDA</w:t>
      </w:r>
      <w:r w:rsidR="00E416EE">
        <w:rPr>
          <w:rFonts w:cs="Arial"/>
        </w:rPr>
        <w:t>)</w:t>
      </w:r>
      <w:r w:rsidR="00D1075C">
        <w:rPr>
          <w:rFonts w:cs="Arial"/>
        </w:rPr>
        <w:t xml:space="preserve"> considered whether there was a need to change their position on the risk from BPA. </w:t>
      </w:r>
    </w:p>
    <w:p w14:paraId="2D117F63" w14:textId="77777777" w:rsidR="004321B2" w:rsidRDefault="004321B2" w:rsidP="004321B2">
      <w:pPr>
        <w:pStyle w:val="ListParagraph"/>
        <w:spacing w:line="480" w:lineRule="auto"/>
        <w:ind w:left="0"/>
        <w:rPr>
          <w:rFonts w:cs="Arial"/>
        </w:rPr>
      </w:pPr>
    </w:p>
    <w:p w14:paraId="5FEDDFD1" w14:textId="4C67A520" w:rsidR="00F353E6" w:rsidRDefault="003D525C" w:rsidP="00B31B67">
      <w:pPr>
        <w:pStyle w:val="ListParagraph"/>
        <w:numPr>
          <w:ilvl w:val="0"/>
          <w:numId w:val="46"/>
        </w:numPr>
        <w:spacing w:line="480" w:lineRule="auto"/>
        <w:ind w:left="0" w:hanging="11"/>
        <w:rPr>
          <w:rFonts w:cs="Arial"/>
        </w:rPr>
      </w:pPr>
      <w:r>
        <w:rPr>
          <w:rFonts w:cs="Arial"/>
        </w:rPr>
        <w:t>T</w:t>
      </w:r>
      <w:r w:rsidR="004321B2" w:rsidRPr="00667A99">
        <w:rPr>
          <w:rFonts w:cs="Arial"/>
        </w:rPr>
        <w:t xml:space="preserve">he </w:t>
      </w:r>
      <w:r w:rsidR="00BD27DF">
        <w:rPr>
          <w:rFonts w:cs="Arial"/>
        </w:rPr>
        <w:t xml:space="preserve">US </w:t>
      </w:r>
      <w:r w:rsidR="004321B2" w:rsidRPr="00667A99">
        <w:rPr>
          <w:rFonts w:cs="Arial"/>
        </w:rPr>
        <w:t xml:space="preserve">FDA </w:t>
      </w:r>
      <w:r>
        <w:rPr>
          <w:rFonts w:cs="Arial"/>
        </w:rPr>
        <w:t>assessed</w:t>
      </w:r>
      <w:r w:rsidR="004321B2" w:rsidRPr="00667A99">
        <w:rPr>
          <w:rFonts w:cs="Arial"/>
        </w:rPr>
        <w:t xml:space="preserve"> </w:t>
      </w:r>
      <w:r w:rsidR="00663E43">
        <w:rPr>
          <w:rFonts w:cs="Arial"/>
        </w:rPr>
        <w:t xml:space="preserve">four studies in their evaluation, </w:t>
      </w:r>
      <w:r w:rsidR="004321B2" w:rsidRPr="00667A99">
        <w:rPr>
          <w:rFonts w:cs="Arial"/>
        </w:rPr>
        <w:t xml:space="preserve">three </w:t>
      </w:r>
      <w:r w:rsidR="00433599">
        <w:rPr>
          <w:rFonts w:cs="Arial"/>
        </w:rPr>
        <w:t xml:space="preserve">were recent studies, and </w:t>
      </w:r>
      <w:r w:rsidR="004321B2" w:rsidRPr="00667A99">
        <w:rPr>
          <w:rFonts w:cs="Arial"/>
        </w:rPr>
        <w:t xml:space="preserve">one </w:t>
      </w:r>
      <w:r w:rsidR="00433599">
        <w:rPr>
          <w:rFonts w:cs="Arial"/>
        </w:rPr>
        <w:t xml:space="preserve">had been </w:t>
      </w:r>
      <w:r w:rsidR="004321B2" w:rsidRPr="00667A99">
        <w:rPr>
          <w:rFonts w:cs="Arial"/>
        </w:rPr>
        <w:t>previously evaluated</w:t>
      </w:r>
      <w:r w:rsidR="00433599">
        <w:rPr>
          <w:rFonts w:cs="Arial"/>
        </w:rPr>
        <w:t>. Of those</w:t>
      </w:r>
      <w:r w:rsidR="0070283C">
        <w:rPr>
          <w:rFonts w:cs="Arial"/>
        </w:rPr>
        <w:t xml:space="preserve"> four</w:t>
      </w:r>
      <w:r w:rsidR="00433599">
        <w:rPr>
          <w:rFonts w:cs="Arial"/>
        </w:rPr>
        <w:t xml:space="preserve"> studies</w:t>
      </w:r>
      <w:r w:rsidR="0094285A">
        <w:rPr>
          <w:rFonts w:cs="Arial"/>
        </w:rPr>
        <w:t>,</w:t>
      </w:r>
      <w:r w:rsidR="005A6010" w:rsidRPr="00667A99">
        <w:rPr>
          <w:rFonts w:cs="Arial"/>
        </w:rPr>
        <w:t xml:space="preserve"> two </w:t>
      </w:r>
      <w:r w:rsidR="00B81AB0">
        <w:rPr>
          <w:rFonts w:cs="Arial"/>
        </w:rPr>
        <w:t xml:space="preserve">studies </w:t>
      </w:r>
      <w:r w:rsidR="00667A99" w:rsidRPr="00667A99">
        <w:rPr>
          <w:rFonts w:cs="Arial"/>
        </w:rPr>
        <w:t xml:space="preserve">(Camacho et al., </w:t>
      </w:r>
      <w:r w:rsidR="004247C3">
        <w:rPr>
          <w:rFonts w:cs="Arial"/>
        </w:rPr>
        <w:t>2019</w:t>
      </w:r>
      <w:r w:rsidR="00667A99" w:rsidRPr="00667A99">
        <w:rPr>
          <w:rFonts w:cs="Arial"/>
        </w:rPr>
        <w:t>; Dere et al.</w:t>
      </w:r>
      <w:r w:rsidR="00667A99">
        <w:rPr>
          <w:rFonts w:cs="Arial"/>
        </w:rPr>
        <w:t xml:space="preserve">, </w:t>
      </w:r>
      <w:r w:rsidR="00454F65">
        <w:rPr>
          <w:rFonts w:cs="Arial"/>
        </w:rPr>
        <w:t>2018</w:t>
      </w:r>
      <w:r w:rsidR="00667A99">
        <w:rPr>
          <w:rFonts w:cs="Arial"/>
        </w:rPr>
        <w:t xml:space="preserve">) were negative for sperm effects, while the other two </w:t>
      </w:r>
      <w:r w:rsidR="00B81AB0">
        <w:rPr>
          <w:rFonts w:cs="Arial"/>
        </w:rPr>
        <w:t xml:space="preserve">studies </w:t>
      </w:r>
      <w:r w:rsidR="00667A99">
        <w:rPr>
          <w:rFonts w:cs="Arial"/>
        </w:rPr>
        <w:t>(</w:t>
      </w:r>
      <w:r w:rsidR="005C77EE" w:rsidRPr="005C77EE">
        <w:rPr>
          <w:rFonts w:cs="Arial"/>
        </w:rPr>
        <w:t xml:space="preserve">Srivastava and Gupta, </w:t>
      </w:r>
      <w:r w:rsidR="004247C3">
        <w:rPr>
          <w:rFonts w:cs="Arial"/>
        </w:rPr>
        <w:t>2018</w:t>
      </w:r>
      <w:r w:rsidR="005C77EE">
        <w:rPr>
          <w:rFonts w:cs="Arial"/>
        </w:rPr>
        <w:t>;</w:t>
      </w:r>
      <w:r w:rsidR="004247C3">
        <w:rPr>
          <w:rFonts w:cs="Arial"/>
        </w:rPr>
        <w:t xml:space="preserve"> </w:t>
      </w:r>
      <w:r w:rsidR="005C77EE" w:rsidRPr="005C77EE">
        <w:rPr>
          <w:rFonts w:cs="Arial"/>
        </w:rPr>
        <w:t>Liu et al.</w:t>
      </w:r>
      <w:r w:rsidR="005C77EE">
        <w:rPr>
          <w:rFonts w:cs="Arial"/>
        </w:rPr>
        <w:t xml:space="preserve">, </w:t>
      </w:r>
      <w:r w:rsidR="009725A0">
        <w:rPr>
          <w:rFonts w:cs="Arial"/>
        </w:rPr>
        <w:t>2013</w:t>
      </w:r>
      <w:r w:rsidR="00B36F8B">
        <w:rPr>
          <w:rFonts w:cs="Arial"/>
        </w:rPr>
        <w:t>, Part I and II</w:t>
      </w:r>
      <w:r w:rsidR="00667A99">
        <w:rPr>
          <w:rFonts w:cs="Arial"/>
        </w:rPr>
        <w:t xml:space="preserve">) </w:t>
      </w:r>
      <w:r w:rsidR="00B81AB0">
        <w:rPr>
          <w:rFonts w:cs="Arial"/>
        </w:rPr>
        <w:t xml:space="preserve">showed adverse effects on sperm </w:t>
      </w:r>
      <w:r w:rsidR="00F74255">
        <w:rPr>
          <w:rFonts w:cs="Arial"/>
        </w:rPr>
        <w:t>parameters</w:t>
      </w:r>
      <w:r w:rsidR="00667A99">
        <w:rPr>
          <w:rFonts w:cs="Arial"/>
        </w:rPr>
        <w:t xml:space="preserve">. </w:t>
      </w:r>
      <w:r w:rsidR="002F0D8D">
        <w:rPr>
          <w:rFonts w:cs="Arial"/>
        </w:rPr>
        <w:t>T</w:t>
      </w:r>
      <w:r w:rsidR="000A674B">
        <w:rPr>
          <w:rFonts w:cs="Arial"/>
        </w:rPr>
        <w:t xml:space="preserve">he </w:t>
      </w:r>
      <w:r w:rsidR="00BD27DF">
        <w:rPr>
          <w:rFonts w:cs="Arial"/>
        </w:rPr>
        <w:t xml:space="preserve">US </w:t>
      </w:r>
      <w:r w:rsidR="000A674B">
        <w:rPr>
          <w:rFonts w:cs="Arial"/>
        </w:rPr>
        <w:t>FDA considered t</w:t>
      </w:r>
      <w:r w:rsidR="002F0D8D">
        <w:rPr>
          <w:rFonts w:cs="Arial"/>
        </w:rPr>
        <w:t xml:space="preserve">he negative studies </w:t>
      </w:r>
      <w:r w:rsidR="005A5454">
        <w:rPr>
          <w:rFonts w:cs="Arial"/>
        </w:rPr>
        <w:t xml:space="preserve">methodologically strong </w:t>
      </w:r>
      <w:r w:rsidR="0070283C">
        <w:rPr>
          <w:rFonts w:cs="Arial"/>
        </w:rPr>
        <w:t>with consistent findings</w:t>
      </w:r>
      <w:r w:rsidR="005A5454">
        <w:rPr>
          <w:rFonts w:cs="Arial"/>
        </w:rPr>
        <w:t>, while the findings from the two positive studies were not easily comparable</w:t>
      </w:r>
      <w:r w:rsidR="00B61417">
        <w:rPr>
          <w:rFonts w:cs="Arial"/>
        </w:rPr>
        <w:t xml:space="preserve"> (FDA,</w:t>
      </w:r>
      <w:r w:rsidR="00D300B5">
        <w:rPr>
          <w:rFonts w:cs="Arial"/>
        </w:rPr>
        <w:t xml:space="preserve"> </w:t>
      </w:r>
      <w:r w:rsidR="00B61417">
        <w:rPr>
          <w:rFonts w:cs="Arial"/>
        </w:rPr>
        <w:t>2024</w:t>
      </w:r>
      <w:r w:rsidR="00D300B5">
        <w:rPr>
          <w:rFonts w:cs="Arial"/>
        </w:rPr>
        <w:t>;</w:t>
      </w:r>
      <w:r w:rsidR="000D3E53">
        <w:rPr>
          <w:rFonts w:cs="Arial"/>
        </w:rPr>
        <w:t xml:space="preserve"> </w:t>
      </w:r>
      <w:r w:rsidR="00D300B5">
        <w:rPr>
          <w:rFonts w:cs="Arial"/>
        </w:rPr>
        <w:t>unpublished</w:t>
      </w:r>
      <w:r w:rsidR="00B61417">
        <w:rPr>
          <w:rFonts w:cs="Arial"/>
        </w:rPr>
        <w:t>)</w:t>
      </w:r>
      <w:r w:rsidR="000201E3">
        <w:rPr>
          <w:rFonts w:cs="Arial"/>
        </w:rPr>
        <w:t>.</w:t>
      </w:r>
      <w:r w:rsidR="002623E1">
        <w:rPr>
          <w:rFonts w:cs="Arial"/>
        </w:rPr>
        <w:t xml:space="preserve"> </w:t>
      </w:r>
    </w:p>
    <w:p w14:paraId="43B04B9D" w14:textId="77777777" w:rsidR="00F353E6" w:rsidRPr="00F353E6" w:rsidRDefault="00F353E6" w:rsidP="00F353E6">
      <w:pPr>
        <w:pStyle w:val="ListParagraph"/>
        <w:rPr>
          <w:rFonts w:cs="Arial"/>
        </w:rPr>
      </w:pPr>
    </w:p>
    <w:p w14:paraId="5808D7B9" w14:textId="628BED59" w:rsidR="00514723" w:rsidRDefault="0070283C" w:rsidP="002C25F2">
      <w:pPr>
        <w:pStyle w:val="ListParagraph"/>
        <w:numPr>
          <w:ilvl w:val="0"/>
          <w:numId w:val="46"/>
        </w:numPr>
        <w:spacing w:line="480" w:lineRule="auto"/>
        <w:ind w:left="0" w:hanging="11"/>
        <w:rPr>
          <w:rFonts w:cs="Arial"/>
        </w:rPr>
      </w:pPr>
      <w:r w:rsidRPr="0024577E">
        <w:rPr>
          <w:rFonts w:cs="Arial"/>
        </w:rPr>
        <w:t>Overall, the</w:t>
      </w:r>
      <w:r w:rsidR="00BD27DF">
        <w:rPr>
          <w:rFonts w:cs="Arial"/>
        </w:rPr>
        <w:t xml:space="preserve"> US</w:t>
      </w:r>
      <w:r w:rsidRPr="0024577E">
        <w:rPr>
          <w:rFonts w:cs="Arial"/>
        </w:rPr>
        <w:t xml:space="preserve"> </w:t>
      </w:r>
      <w:r w:rsidR="006972BA" w:rsidRPr="0024577E">
        <w:rPr>
          <w:rFonts w:cs="Arial"/>
        </w:rPr>
        <w:t xml:space="preserve">FDA </w:t>
      </w:r>
      <w:r w:rsidR="00972436" w:rsidRPr="0024577E">
        <w:rPr>
          <w:rFonts w:cs="Arial"/>
        </w:rPr>
        <w:t xml:space="preserve">did not consider there to be any new evidence that would </w:t>
      </w:r>
      <w:r w:rsidR="00CE105D" w:rsidRPr="0024577E">
        <w:rPr>
          <w:rFonts w:cs="Arial"/>
        </w:rPr>
        <w:t xml:space="preserve">indicate an </w:t>
      </w:r>
      <w:r w:rsidR="00A454CE" w:rsidRPr="0024577E">
        <w:rPr>
          <w:rFonts w:cs="Arial"/>
        </w:rPr>
        <w:t>elevated</w:t>
      </w:r>
      <w:r w:rsidR="00CE105D" w:rsidRPr="0024577E">
        <w:rPr>
          <w:rFonts w:cs="Arial"/>
        </w:rPr>
        <w:t xml:space="preserve"> concern regarding the effects of BPA on sperm parameters or testicular toxicity</w:t>
      </w:r>
      <w:r w:rsidR="00814A5F" w:rsidRPr="0024577E">
        <w:rPr>
          <w:rFonts w:cs="Arial"/>
        </w:rPr>
        <w:t xml:space="preserve"> and therefore saw no</w:t>
      </w:r>
      <w:r w:rsidR="00CE105D" w:rsidRPr="0024577E">
        <w:rPr>
          <w:rFonts w:cs="Arial"/>
        </w:rPr>
        <w:t xml:space="preserve"> need to change their previous conclusions on the safety of BPA. </w:t>
      </w:r>
      <w:r w:rsidR="0019102B" w:rsidRPr="0024577E">
        <w:rPr>
          <w:rFonts w:cs="Arial"/>
        </w:rPr>
        <w:t xml:space="preserve">The </w:t>
      </w:r>
      <w:r w:rsidR="00BD27DF">
        <w:rPr>
          <w:rFonts w:cs="Arial"/>
        </w:rPr>
        <w:t xml:space="preserve">US </w:t>
      </w:r>
      <w:r w:rsidR="0019102B" w:rsidRPr="0024577E">
        <w:rPr>
          <w:rFonts w:cs="Arial"/>
        </w:rPr>
        <w:t xml:space="preserve">FDA therefore </w:t>
      </w:r>
      <w:r w:rsidR="00702CCD">
        <w:rPr>
          <w:rFonts w:cs="Arial"/>
        </w:rPr>
        <w:t>maintained</w:t>
      </w:r>
      <w:r w:rsidR="0019102B" w:rsidRPr="0024577E">
        <w:rPr>
          <w:rFonts w:cs="Arial"/>
        </w:rPr>
        <w:t xml:space="preserve"> a NOAEL of</w:t>
      </w:r>
      <w:r w:rsidR="0024577E" w:rsidRPr="0024577E">
        <w:rPr>
          <w:rFonts w:cs="Arial"/>
        </w:rPr>
        <w:t xml:space="preserve"> 5 mg/kg based on oral dosing studies for risk or safety assessments</w:t>
      </w:r>
      <w:r w:rsidR="0019102B" w:rsidRPr="0024577E">
        <w:rPr>
          <w:rFonts w:cs="Arial"/>
        </w:rPr>
        <w:t xml:space="preserve"> </w:t>
      </w:r>
      <w:r w:rsidR="0024577E" w:rsidRPr="0024577E">
        <w:rPr>
          <w:rFonts w:cs="Arial"/>
        </w:rPr>
        <w:t>(</w:t>
      </w:r>
      <w:hyperlink r:id="rId34" w:history="1">
        <w:r w:rsidR="00DA70EE" w:rsidRPr="00257E52">
          <w:rPr>
            <w:rStyle w:val="Hyperlink"/>
            <w:rFonts w:cs="Arial"/>
          </w:rPr>
          <w:t>FDA, 2014</w:t>
        </w:r>
      </w:hyperlink>
      <w:r w:rsidR="0024577E" w:rsidRPr="0024577E">
        <w:rPr>
          <w:rFonts w:cs="Arial"/>
        </w:rPr>
        <w:t xml:space="preserve">). </w:t>
      </w:r>
    </w:p>
    <w:p w14:paraId="6648AFFE" w14:textId="77777777" w:rsidR="00514723" w:rsidRPr="00514723" w:rsidRDefault="00514723" w:rsidP="00514723">
      <w:pPr>
        <w:pStyle w:val="ListParagraph"/>
        <w:rPr>
          <w:rFonts w:cs="Arial"/>
        </w:rPr>
      </w:pPr>
    </w:p>
    <w:p w14:paraId="6E504AB2" w14:textId="16BB98B7" w:rsidR="00834D3E" w:rsidRPr="0024577E" w:rsidRDefault="00CE105D" w:rsidP="002C25F2">
      <w:pPr>
        <w:pStyle w:val="ListParagraph"/>
        <w:numPr>
          <w:ilvl w:val="0"/>
          <w:numId w:val="46"/>
        </w:numPr>
        <w:spacing w:line="480" w:lineRule="auto"/>
        <w:ind w:left="0" w:hanging="11"/>
        <w:rPr>
          <w:rFonts w:cs="Arial"/>
        </w:rPr>
      </w:pPr>
      <w:r w:rsidRPr="0024577E">
        <w:rPr>
          <w:rFonts w:cs="Arial"/>
        </w:rPr>
        <w:t>T</w:t>
      </w:r>
      <w:r w:rsidR="0016257D" w:rsidRPr="0024577E">
        <w:rPr>
          <w:rFonts w:cs="Arial"/>
        </w:rPr>
        <w:t>he</w:t>
      </w:r>
      <w:r w:rsidR="00BD27DF">
        <w:rPr>
          <w:rFonts w:cs="Arial"/>
        </w:rPr>
        <w:t xml:space="preserve"> US</w:t>
      </w:r>
      <w:r w:rsidR="0016257D" w:rsidRPr="0024577E">
        <w:rPr>
          <w:rFonts w:cs="Arial"/>
        </w:rPr>
        <w:t xml:space="preserve"> FDA </w:t>
      </w:r>
      <w:r w:rsidR="006972BA" w:rsidRPr="0024577E">
        <w:rPr>
          <w:rFonts w:cs="Arial"/>
        </w:rPr>
        <w:t>note</w:t>
      </w:r>
      <w:r w:rsidR="0016257D" w:rsidRPr="0024577E">
        <w:rPr>
          <w:rFonts w:cs="Arial"/>
        </w:rPr>
        <w:t>d</w:t>
      </w:r>
      <w:r w:rsidR="006972BA" w:rsidRPr="0024577E">
        <w:rPr>
          <w:rFonts w:cs="Arial"/>
        </w:rPr>
        <w:t xml:space="preserve"> that adverse effects </w:t>
      </w:r>
      <w:r w:rsidR="006D25E2" w:rsidRPr="0024577E">
        <w:rPr>
          <w:rFonts w:cs="Arial"/>
        </w:rPr>
        <w:t>occurred</w:t>
      </w:r>
      <w:r w:rsidR="006972BA" w:rsidRPr="0024577E">
        <w:rPr>
          <w:rFonts w:cs="Arial"/>
        </w:rPr>
        <w:t xml:space="preserve"> at concentrations </w:t>
      </w:r>
      <w:r w:rsidR="00301D7B" w:rsidRPr="0024577E">
        <w:rPr>
          <w:rFonts w:cs="Arial"/>
        </w:rPr>
        <w:t xml:space="preserve">of BPA </w:t>
      </w:r>
      <w:r w:rsidR="006D25E2" w:rsidRPr="0024577E">
        <w:rPr>
          <w:rFonts w:cs="Arial"/>
        </w:rPr>
        <w:t xml:space="preserve">that </w:t>
      </w:r>
      <w:r w:rsidR="00301D7B" w:rsidRPr="0024577E">
        <w:rPr>
          <w:rFonts w:cs="Arial"/>
        </w:rPr>
        <w:t>we</w:t>
      </w:r>
      <w:r w:rsidR="006D25E2" w:rsidRPr="0024577E">
        <w:rPr>
          <w:rFonts w:cs="Arial"/>
        </w:rPr>
        <w:t>re well above established exposure levels in humans</w:t>
      </w:r>
      <w:r w:rsidR="00641D7F">
        <w:rPr>
          <w:rFonts w:cs="Arial"/>
        </w:rPr>
        <w:t xml:space="preserve"> </w:t>
      </w:r>
      <w:r w:rsidR="00651C3B">
        <w:rPr>
          <w:rFonts w:cs="Arial"/>
        </w:rPr>
        <w:t>(FDA, 2024</w:t>
      </w:r>
      <w:r w:rsidR="003F095F">
        <w:rPr>
          <w:rFonts w:cs="Arial"/>
        </w:rPr>
        <w:t>;</w:t>
      </w:r>
      <w:r w:rsidR="00651C3B">
        <w:rPr>
          <w:rFonts w:cs="Arial"/>
        </w:rPr>
        <w:t xml:space="preserve"> </w:t>
      </w:r>
      <w:r w:rsidR="003F095F">
        <w:rPr>
          <w:rFonts w:cs="Arial"/>
        </w:rPr>
        <w:t>unpublished</w:t>
      </w:r>
      <w:r w:rsidR="00651C3B">
        <w:rPr>
          <w:rFonts w:cs="Arial"/>
        </w:rPr>
        <w:t>).</w:t>
      </w:r>
      <w:r w:rsidR="006D25E2" w:rsidRPr="0024577E">
        <w:rPr>
          <w:rFonts w:cs="Arial"/>
        </w:rPr>
        <w:t xml:space="preserve"> </w:t>
      </w:r>
    </w:p>
    <w:p w14:paraId="291C167F" w14:textId="77777777" w:rsidR="006D25E2" w:rsidRPr="00667A99" w:rsidRDefault="006D25E2" w:rsidP="006D25E2">
      <w:pPr>
        <w:pStyle w:val="ListParagraph"/>
        <w:spacing w:line="480" w:lineRule="auto"/>
        <w:ind w:left="0"/>
        <w:rPr>
          <w:rFonts w:cs="Arial"/>
        </w:rPr>
      </w:pPr>
    </w:p>
    <w:p w14:paraId="22305F35" w14:textId="39E38239" w:rsidR="00A345E5" w:rsidRDefault="00410F75" w:rsidP="00C22F7A">
      <w:pPr>
        <w:pStyle w:val="Heading1"/>
      </w:pPr>
      <w:r>
        <w:t>COT review</w:t>
      </w:r>
      <w:r w:rsidR="00816E76">
        <w:t xml:space="preserve"> of BPA</w:t>
      </w:r>
    </w:p>
    <w:p w14:paraId="0955BA59" w14:textId="77777777" w:rsidR="00C22F7A" w:rsidRPr="00C22F7A" w:rsidRDefault="00C22F7A" w:rsidP="00C22F7A"/>
    <w:p w14:paraId="5D385E85" w14:textId="166E6135" w:rsidR="00561BA6" w:rsidRDefault="00A263B3" w:rsidP="00B31B67">
      <w:pPr>
        <w:pStyle w:val="ListParagraph"/>
        <w:numPr>
          <w:ilvl w:val="0"/>
          <w:numId w:val="46"/>
        </w:numPr>
        <w:spacing w:line="480" w:lineRule="auto"/>
        <w:ind w:left="0" w:hanging="11"/>
      </w:pPr>
      <w:r>
        <w:lastRenderedPageBreak/>
        <w:t xml:space="preserve">Following the publication </w:t>
      </w:r>
      <w:r w:rsidR="002F359E">
        <w:t xml:space="preserve">and </w:t>
      </w:r>
      <w:r w:rsidR="00EC2553">
        <w:t>assessment</w:t>
      </w:r>
      <w:r w:rsidR="002F359E">
        <w:t xml:space="preserve"> </w:t>
      </w:r>
      <w:r>
        <w:t xml:space="preserve">of the new EFSA Opinion </w:t>
      </w:r>
      <w:r w:rsidR="00AF671A">
        <w:t xml:space="preserve">in 2023, </w:t>
      </w:r>
      <w:r>
        <w:t>the COT</w:t>
      </w:r>
      <w:r w:rsidR="00B708A6">
        <w:t xml:space="preserve"> </w:t>
      </w:r>
      <w:r w:rsidR="00BF6F66">
        <w:t>agreed</w:t>
      </w:r>
      <w:r w:rsidR="00B708A6">
        <w:t xml:space="preserve"> </w:t>
      </w:r>
      <w:r>
        <w:t xml:space="preserve">that </w:t>
      </w:r>
      <w:r w:rsidR="00B708A6">
        <w:t xml:space="preserve">while </w:t>
      </w:r>
      <w:r w:rsidR="00B708A6" w:rsidRPr="003E294F">
        <w:t>the TDI would need to be revised to account</w:t>
      </w:r>
      <w:r w:rsidR="00B708A6">
        <w:t xml:space="preserve"> for </w:t>
      </w:r>
      <w:r w:rsidR="00B708A6" w:rsidRPr="003E294F">
        <w:t xml:space="preserve">new evidence, the </w:t>
      </w:r>
      <w:r w:rsidR="009306B8">
        <w:t xml:space="preserve">WoE </w:t>
      </w:r>
      <w:r w:rsidR="00B708A6" w:rsidRPr="003E294F">
        <w:t>did not support the conclusions drawn by EFSA or a TDI as low as that derived by EFSA</w:t>
      </w:r>
      <w:r w:rsidR="00B708A6">
        <w:t xml:space="preserve">. </w:t>
      </w:r>
      <w:r w:rsidR="006868C3" w:rsidRPr="006979DC">
        <w:t xml:space="preserve">In line with the EMA and BfR, the COT raised a number of concerns, highlighting there was a lack of transparency on how the evidence had been integrated </w:t>
      </w:r>
      <w:r w:rsidR="006E0076">
        <w:t xml:space="preserve">by EFSA </w:t>
      </w:r>
      <w:r w:rsidR="006868C3" w:rsidRPr="006979DC">
        <w:t xml:space="preserve">to derive the </w:t>
      </w:r>
      <w:r w:rsidR="006868C3">
        <w:t>P</w:t>
      </w:r>
      <w:r w:rsidR="008C46ED">
        <w:t>O</w:t>
      </w:r>
      <w:r w:rsidR="006868C3">
        <w:t>D</w:t>
      </w:r>
      <w:r w:rsidR="006868C3" w:rsidRPr="006979DC">
        <w:t xml:space="preserve"> for the derivation of a HBGV. EFSA also utilized a predetermined protocol which restricted the inclusion of studies and subsequent data evaluation to a specific time period. </w:t>
      </w:r>
      <w:r w:rsidR="00B708A6" w:rsidRPr="002E4684">
        <w:t xml:space="preserve">The COT acknowledged that given the size of the database, undertaking a risk assessment on BPA, with a </w:t>
      </w:r>
      <w:r w:rsidR="00CF6389">
        <w:t>WoE</w:t>
      </w:r>
      <w:r w:rsidR="00B708A6" w:rsidRPr="002E4684">
        <w:t xml:space="preserve"> approach and transparent data integration, would not be a short undertaking. </w:t>
      </w:r>
      <w:r w:rsidR="00561BA6">
        <w:t xml:space="preserve">However, there </w:t>
      </w:r>
      <w:r w:rsidR="00561BA6" w:rsidRPr="006979DC">
        <w:t xml:space="preserve">was a wider data set available for BPA, which should have been considered </w:t>
      </w:r>
      <w:r w:rsidR="00651D17">
        <w:t xml:space="preserve">by EFSA, </w:t>
      </w:r>
      <w:r w:rsidR="00561BA6" w:rsidRPr="006979DC">
        <w:t>not only in the evaluation for the relevant endpoint selection but also in the derivation of the HED</w:t>
      </w:r>
      <w:r w:rsidR="005F360B">
        <w:t>F</w:t>
      </w:r>
      <w:r w:rsidR="00561BA6" w:rsidRPr="006979DC">
        <w:t>.</w:t>
      </w:r>
    </w:p>
    <w:p w14:paraId="51634DF0" w14:textId="77777777" w:rsidR="00561BA6" w:rsidRDefault="00561BA6" w:rsidP="00561BA6">
      <w:pPr>
        <w:pStyle w:val="ListParagraph"/>
        <w:spacing w:line="480" w:lineRule="auto"/>
        <w:ind w:left="0"/>
      </w:pPr>
    </w:p>
    <w:p w14:paraId="3C622707" w14:textId="20FC8969" w:rsidR="00006C6B" w:rsidRDefault="00B708A6" w:rsidP="00037472">
      <w:pPr>
        <w:pStyle w:val="ListParagraph"/>
        <w:numPr>
          <w:ilvl w:val="0"/>
          <w:numId w:val="46"/>
        </w:numPr>
        <w:spacing w:line="480" w:lineRule="auto"/>
        <w:ind w:left="0" w:hanging="11"/>
      </w:pPr>
      <w:r w:rsidRPr="002E4684">
        <w:t>To ensure timely assurance of consumer protection</w:t>
      </w:r>
      <w:r w:rsidR="00C75128">
        <w:t xml:space="preserve"> in the UK</w:t>
      </w:r>
      <w:r w:rsidRPr="002E4684">
        <w:t>, the C</w:t>
      </w:r>
      <w:r w:rsidR="00F23F00">
        <w:t>OT</w:t>
      </w:r>
      <w:r w:rsidR="00DE6E46">
        <w:t xml:space="preserve"> </w:t>
      </w:r>
      <w:r w:rsidR="00454490">
        <w:t xml:space="preserve">considered the </w:t>
      </w:r>
      <w:r w:rsidR="008E7EB5">
        <w:t>WoE assessment</w:t>
      </w:r>
      <w:r w:rsidR="00454490">
        <w:t xml:space="preserve"> </w:t>
      </w:r>
      <w:r w:rsidR="00134219">
        <w:t>by</w:t>
      </w:r>
      <w:r w:rsidR="00454490">
        <w:t xml:space="preserve"> EFSA </w:t>
      </w:r>
      <w:r w:rsidR="008E7EB5">
        <w:t>(</w:t>
      </w:r>
      <w:r w:rsidR="00454490">
        <w:t>2015</w:t>
      </w:r>
      <w:r w:rsidR="008E7EB5">
        <w:t>,</w:t>
      </w:r>
      <w:r w:rsidR="00454490">
        <w:t xml:space="preserve"> 2023</w:t>
      </w:r>
      <w:r w:rsidR="008E7EB5">
        <w:t>)</w:t>
      </w:r>
      <w:r w:rsidR="00454490">
        <w:t xml:space="preserve"> </w:t>
      </w:r>
      <w:r w:rsidR="008E7EB5">
        <w:t>and</w:t>
      </w:r>
      <w:r w:rsidR="00454490">
        <w:t xml:space="preserve"> the BfR </w:t>
      </w:r>
      <w:r w:rsidR="00D72BB2">
        <w:t>(2023)</w:t>
      </w:r>
      <w:r w:rsidR="00454490">
        <w:t xml:space="preserve">, </w:t>
      </w:r>
      <w:r w:rsidR="008E7EB5">
        <w:t xml:space="preserve">as well as their methodological approach </w:t>
      </w:r>
      <w:r w:rsidR="00E2350B">
        <w:t xml:space="preserve">to derive a HBGV. </w:t>
      </w:r>
      <w:r w:rsidR="00EF30E6">
        <w:t xml:space="preserve">To </w:t>
      </w:r>
      <w:r w:rsidR="006718E6">
        <w:t>ensure</w:t>
      </w:r>
      <w:r w:rsidR="00EF30E6">
        <w:t xml:space="preserve"> no </w:t>
      </w:r>
      <w:r w:rsidR="00972502">
        <w:t xml:space="preserve">relevant </w:t>
      </w:r>
      <w:r w:rsidR="001806E9">
        <w:t>evidence ha</w:t>
      </w:r>
      <w:r w:rsidR="006718E6">
        <w:t>d</w:t>
      </w:r>
      <w:r w:rsidR="001806E9">
        <w:t xml:space="preserve"> been </w:t>
      </w:r>
      <w:r w:rsidR="00972502">
        <w:t>published</w:t>
      </w:r>
      <w:r w:rsidR="001806E9">
        <w:t xml:space="preserve"> since the BfR’s assessment, a</w:t>
      </w:r>
      <w:r w:rsidR="00AE33C7">
        <w:t xml:space="preserve"> literature search was undertaken</w:t>
      </w:r>
      <w:r w:rsidR="00247591">
        <w:t>, focussing on any new publications</w:t>
      </w:r>
      <w:r w:rsidR="00AE33C7">
        <w:t xml:space="preserve"> </w:t>
      </w:r>
      <w:r w:rsidR="007464D7">
        <w:t xml:space="preserve">between </w:t>
      </w:r>
      <w:r w:rsidR="00AE33C7">
        <w:t xml:space="preserve">January 2022 and June 2024, using </w:t>
      </w:r>
      <w:r w:rsidR="00954F4E">
        <w:t>an in-house search engine</w:t>
      </w:r>
      <w:r w:rsidR="00247591">
        <w:t xml:space="preserve"> and</w:t>
      </w:r>
      <w:r w:rsidR="005F040A">
        <w:t xml:space="preserve"> retrieving publications from PubMed, Scopus, Ebsco</w:t>
      </w:r>
      <w:r w:rsidR="005D11CD">
        <w:t xml:space="preserve"> </w:t>
      </w:r>
      <w:r w:rsidR="005D11CD" w:rsidRPr="00A933C7">
        <w:rPr>
          <w:rFonts w:cs="Arial"/>
        </w:rPr>
        <w:t xml:space="preserve">(Food Science Source) </w:t>
      </w:r>
      <w:r w:rsidR="005F040A">
        <w:t>and Springer</w:t>
      </w:r>
      <w:r w:rsidR="009E7530">
        <w:t xml:space="preserve"> (</w:t>
      </w:r>
      <w:r w:rsidR="00884776">
        <w:t>see Annex A for search terms)</w:t>
      </w:r>
      <w:r w:rsidR="00037472">
        <w:t xml:space="preserve">. </w:t>
      </w:r>
      <w:r w:rsidR="00244DCC">
        <w:t>In line with EFSA (2015; 2023) and the BfR (2023)</w:t>
      </w:r>
      <w:r w:rsidR="00A97ABE">
        <w:t xml:space="preserve">, the COT </w:t>
      </w:r>
      <w:r w:rsidR="00DD236E">
        <w:t>concluded</w:t>
      </w:r>
      <w:r w:rsidR="00060AF9">
        <w:t xml:space="preserve"> that </w:t>
      </w:r>
      <w:r w:rsidR="002F2060">
        <w:t>other toxicological endpoints were consistently seen at higher dose ranges</w:t>
      </w:r>
      <w:r w:rsidR="00146CF0">
        <w:t xml:space="preserve"> than </w:t>
      </w:r>
      <w:r w:rsidR="00636F9E">
        <w:t>those</w:t>
      </w:r>
      <w:r w:rsidR="000A493C">
        <w:t xml:space="preserve"> which resulted in </w:t>
      </w:r>
      <w:r w:rsidR="00146CF0">
        <w:t>immunological or reproductive effects</w:t>
      </w:r>
      <w:r w:rsidR="002F2060">
        <w:t xml:space="preserve">, hence </w:t>
      </w:r>
      <w:r w:rsidR="00175CAF">
        <w:t xml:space="preserve">any HBGV based on either </w:t>
      </w:r>
      <w:r w:rsidR="00146CF0">
        <w:t>of these two endpoints</w:t>
      </w:r>
      <w:r w:rsidR="002F2060">
        <w:t xml:space="preserve"> would</w:t>
      </w:r>
      <w:r w:rsidR="00175CAF">
        <w:t xml:space="preserve"> also be protective for other </w:t>
      </w:r>
      <w:r w:rsidR="00AD1765">
        <w:t xml:space="preserve">toxicological endpoints. </w:t>
      </w:r>
      <w:r w:rsidR="0036159B">
        <w:t xml:space="preserve">The </w:t>
      </w:r>
      <w:r w:rsidR="0036159B">
        <w:lastRenderedPageBreak/>
        <w:t xml:space="preserve">literature search therefore focused on the main endpoints of BPA, i.e. reproductive and immunotoxicity, but also included search strings for pathology and histopathology. </w:t>
      </w:r>
      <w:r w:rsidR="001107A3">
        <w:t xml:space="preserve">Articles were excluded if they </w:t>
      </w:r>
      <w:r w:rsidR="001E1427">
        <w:t>were general review articles, focused on other effect</w:t>
      </w:r>
      <w:r w:rsidR="00143296">
        <w:t>s</w:t>
      </w:r>
      <w:r w:rsidR="00015A58">
        <w:t xml:space="preserve">, were published prior to </w:t>
      </w:r>
      <w:r w:rsidR="00AE3F91">
        <w:t xml:space="preserve">2022 or focussed on </w:t>
      </w:r>
      <w:r w:rsidR="00143296">
        <w:t>biomonitoring</w:t>
      </w:r>
      <w:r w:rsidR="00114620">
        <w:t xml:space="preserve"> (occurrence data)</w:t>
      </w:r>
      <w:r w:rsidR="00AE3F91">
        <w:t xml:space="preserve"> or </w:t>
      </w:r>
      <w:r w:rsidR="00283A79">
        <w:t>detection methods of BPA.</w:t>
      </w:r>
    </w:p>
    <w:p w14:paraId="5C6B2FDC" w14:textId="77777777" w:rsidR="00006C6B" w:rsidRDefault="00006C6B" w:rsidP="00006C6B">
      <w:pPr>
        <w:pStyle w:val="ListParagraph"/>
      </w:pPr>
    </w:p>
    <w:p w14:paraId="4C865B96" w14:textId="0DD7D573" w:rsidR="00DD481D" w:rsidRDefault="0030549F" w:rsidP="00B31B67">
      <w:pPr>
        <w:pStyle w:val="ListParagraph"/>
        <w:numPr>
          <w:ilvl w:val="0"/>
          <w:numId w:val="46"/>
        </w:numPr>
        <w:spacing w:line="480" w:lineRule="auto"/>
        <w:ind w:left="0" w:hanging="11"/>
      </w:pPr>
      <w:r>
        <w:t xml:space="preserve">While </w:t>
      </w:r>
      <w:r w:rsidR="004B72FD">
        <w:t xml:space="preserve">the COT </w:t>
      </w:r>
      <w:r w:rsidR="00DC33E6">
        <w:t xml:space="preserve">acknowledged the diverging opinion by the </w:t>
      </w:r>
      <w:r w:rsidR="004654F2">
        <w:t xml:space="preserve">EMA </w:t>
      </w:r>
      <w:r w:rsidR="00DD481D">
        <w:t>it was</w:t>
      </w:r>
      <w:r w:rsidR="00DC33E6">
        <w:t xml:space="preserve"> not </w:t>
      </w:r>
      <w:r w:rsidR="0028631A">
        <w:t>further considered</w:t>
      </w:r>
      <w:r w:rsidR="007D435A">
        <w:t xml:space="preserve"> in the COT’s assessment of BPA</w:t>
      </w:r>
      <w:r w:rsidR="0028631A">
        <w:t xml:space="preserve">. </w:t>
      </w:r>
      <w:r w:rsidR="007D435A">
        <w:t>T</w:t>
      </w:r>
      <w:r>
        <w:t>he EM</w:t>
      </w:r>
      <w:r w:rsidR="00F9427E">
        <w:t>A</w:t>
      </w:r>
      <w:r>
        <w:t xml:space="preserve"> raised scientific issues with the endpoint applied </w:t>
      </w:r>
      <w:r w:rsidR="008D57D6">
        <w:t>by EFSA</w:t>
      </w:r>
      <w:r w:rsidR="00A25DA1">
        <w:t xml:space="preserve"> for the derivation of a HBGV</w:t>
      </w:r>
      <w:r>
        <w:t xml:space="preserve">, which align with the concerns highlighted by the COT, </w:t>
      </w:r>
      <w:r w:rsidR="007D435A">
        <w:t xml:space="preserve">however </w:t>
      </w:r>
      <w:r>
        <w:t>the EMAs approach to risk assessment differs from that of the COT, insofar that i</w:t>
      </w:r>
      <w:r w:rsidR="006A1547">
        <w:t>t</w:t>
      </w:r>
      <w:r>
        <w:t xml:space="preserve"> also considers </w:t>
      </w:r>
      <w:r w:rsidR="00BA6473">
        <w:t xml:space="preserve">the </w:t>
      </w:r>
      <w:r>
        <w:t xml:space="preserve">risk </w:t>
      </w:r>
      <w:r w:rsidR="005021B6">
        <w:t xml:space="preserve">against the </w:t>
      </w:r>
      <w:r>
        <w:t>benefit</w:t>
      </w:r>
      <w:r w:rsidR="00447047">
        <w:t xml:space="preserve">. </w:t>
      </w:r>
    </w:p>
    <w:p w14:paraId="597476E3" w14:textId="77777777" w:rsidR="00DD481D" w:rsidRDefault="00DD481D" w:rsidP="00DD481D">
      <w:pPr>
        <w:pStyle w:val="ListParagraph"/>
      </w:pPr>
    </w:p>
    <w:p w14:paraId="2F2E4ACA" w14:textId="72D3B8AD" w:rsidR="00E73F45" w:rsidRDefault="00DD481D" w:rsidP="00DD481D">
      <w:pPr>
        <w:pStyle w:val="ListParagraph"/>
        <w:numPr>
          <w:ilvl w:val="0"/>
          <w:numId w:val="46"/>
        </w:numPr>
        <w:spacing w:line="480" w:lineRule="auto"/>
        <w:ind w:left="0" w:hanging="11"/>
      </w:pPr>
      <w:r>
        <w:t xml:space="preserve">The COT also considered assessments undertaken by other European or international authorities. While the Committee considered it useful to have seen the RIVM’s assessment, specifically the second part, they noted that the report was published in 2016 and therefore did not address either the selection of the critical endpoint nor the approach taken by EFSA in 2023. As the report was published prior to the EFSA 2023 assessment it would have fed into the new EFSA opinion but would also be unable to provide answers to the concerns raised by the COT. </w:t>
      </w:r>
      <w:r w:rsidR="004E650C">
        <w:t>T</w:t>
      </w:r>
      <w:r w:rsidR="00DE79CC">
        <w:t xml:space="preserve">he </w:t>
      </w:r>
      <w:r w:rsidR="00090658">
        <w:t xml:space="preserve">US </w:t>
      </w:r>
      <w:r w:rsidR="00DE79CC">
        <w:t xml:space="preserve">FDA </w:t>
      </w:r>
      <w:r w:rsidR="00DA11A7">
        <w:t xml:space="preserve">published a technical review </w:t>
      </w:r>
      <w:r w:rsidR="00B61417">
        <w:t xml:space="preserve">in 2024 </w:t>
      </w:r>
      <w:r w:rsidR="00F378A4">
        <w:t>based on four studies,</w:t>
      </w:r>
      <w:r w:rsidR="00502334">
        <w:t xml:space="preserve"> </w:t>
      </w:r>
      <w:r w:rsidR="00EB2663">
        <w:t xml:space="preserve">all of which </w:t>
      </w:r>
      <w:r w:rsidR="007827CA">
        <w:t xml:space="preserve">the COT noted </w:t>
      </w:r>
      <w:r w:rsidR="00EB2663">
        <w:t xml:space="preserve">were </w:t>
      </w:r>
      <w:r w:rsidR="007827CA">
        <w:t xml:space="preserve">also </w:t>
      </w:r>
      <w:r w:rsidR="00EB2663">
        <w:t>discussed as part of the BfR assessment</w:t>
      </w:r>
      <w:r w:rsidR="007827CA">
        <w:t xml:space="preserve">. </w:t>
      </w:r>
      <w:r w:rsidR="00CD5229">
        <w:t>The COT considered the technical review clear and scientifically robust but</w:t>
      </w:r>
      <w:r w:rsidR="006A4880">
        <w:t xml:space="preserve"> d</w:t>
      </w:r>
      <w:r w:rsidR="00E73F45">
        <w:t xml:space="preserve">ue to differences in weighing of evidence, the </w:t>
      </w:r>
      <w:r w:rsidR="00090658">
        <w:t xml:space="preserve">US </w:t>
      </w:r>
      <w:r w:rsidR="00E73F45">
        <w:t xml:space="preserve">FDA </w:t>
      </w:r>
      <w:r w:rsidR="006A4880">
        <w:t xml:space="preserve">reached a different conclusion on these studies, </w:t>
      </w:r>
      <w:r w:rsidR="00CD5229">
        <w:t>confirm</w:t>
      </w:r>
      <w:r w:rsidR="006A4880">
        <w:t xml:space="preserve">ing </w:t>
      </w:r>
      <w:r w:rsidR="00CD5229">
        <w:t xml:space="preserve">their previous position on BPA </w:t>
      </w:r>
      <w:r w:rsidR="006A4880">
        <w:t xml:space="preserve">and </w:t>
      </w:r>
      <w:r w:rsidR="00CD5229">
        <w:t xml:space="preserve">seeing no need to change their current advice. </w:t>
      </w:r>
    </w:p>
    <w:p w14:paraId="7A2EB544" w14:textId="77777777" w:rsidR="00501DBC" w:rsidRDefault="00501DBC" w:rsidP="00501DBC">
      <w:pPr>
        <w:pStyle w:val="ListParagraph"/>
      </w:pPr>
    </w:p>
    <w:p w14:paraId="2A263748" w14:textId="656C78F6" w:rsidR="00181DDE" w:rsidRDefault="00501DBC" w:rsidP="00B31B67">
      <w:pPr>
        <w:pStyle w:val="ListParagraph"/>
        <w:numPr>
          <w:ilvl w:val="0"/>
          <w:numId w:val="46"/>
        </w:numPr>
        <w:spacing w:line="480" w:lineRule="auto"/>
        <w:ind w:left="0" w:hanging="11"/>
      </w:pPr>
      <w:r>
        <w:t>The COT</w:t>
      </w:r>
      <w:r w:rsidR="006613FF">
        <w:t xml:space="preserve"> acknowledged the list of alternatives provided by the RIVM, as well as any other considerations given to alternatives in the EU. However</w:t>
      </w:r>
      <w:r w:rsidR="00F8540B">
        <w:t>, assessing alternatives was outside the mandate of the COT.</w:t>
      </w:r>
    </w:p>
    <w:p w14:paraId="70A360B5" w14:textId="77777777" w:rsidR="00EB25AF" w:rsidRPr="00ED33B0" w:rsidRDefault="00EB25AF" w:rsidP="00C22F7A">
      <w:pPr>
        <w:pStyle w:val="Heading2"/>
      </w:pPr>
      <w:r w:rsidRPr="00ED33B0">
        <w:t>Immune effects</w:t>
      </w:r>
    </w:p>
    <w:p w14:paraId="1A167757" w14:textId="15DE1443" w:rsidR="00215A2F" w:rsidRDefault="00287730" w:rsidP="00B31B67">
      <w:pPr>
        <w:pStyle w:val="ListParagraph"/>
        <w:numPr>
          <w:ilvl w:val="0"/>
          <w:numId w:val="46"/>
        </w:numPr>
        <w:spacing w:line="480" w:lineRule="auto"/>
        <w:ind w:left="0" w:hanging="11"/>
      </w:pPr>
      <w:r>
        <w:t>E</w:t>
      </w:r>
      <w:r w:rsidR="00704066">
        <w:t>FSA considered the increase in Th17 cells</w:t>
      </w:r>
      <w:r w:rsidR="00221A77">
        <w:t xml:space="preserve">, </w:t>
      </w:r>
      <w:r w:rsidR="002A317B">
        <w:t>cells involved in immune responses</w:t>
      </w:r>
      <w:r w:rsidR="00221A77">
        <w:t>,</w:t>
      </w:r>
      <w:r w:rsidR="00704066">
        <w:t xml:space="preserve"> </w:t>
      </w:r>
      <w:r w:rsidR="00221A77">
        <w:t>the most sensitive endpoint and hence the</w:t>
      </w:r>
      <w:r w:rsidR="00221A77" w:rsidRPr="00221A77">
        <w:t xml:space="preserve"> </w:t>
      </w:r>
      <w:r w:rsidR="00221A77">
        <w:t>critical effect for BPA exposure.</w:t>
      </w:r>
    </w:p>
    <w:p w14:paraId="636757B2" w14:textId="77777777" w:rsidR="00296083" w:rsidRDefault="00296083" w:rsidP="00296083">
      <w:pPr>
        <w:pStyle w:val="ListParagraph"/>
        <w:spacing w:line="480" w:lineRule="auto"/>
        <w:ind w:left="0"/>
      </w:pPr>
    </w:p>
    <w:p w14:paraId="735F196E" w14:textId="69930B61" w:rsidR="00A01B9B" w:rsidRDefault="00BB5F82" w:rsidP="00B31B67">
      <w:pPr>
        <w:pStyle w:val="ListParagraph"/>
        <w:numPr>
          <w:ilvl w:val="0"/>
          <w:numId w:val="46"/>
        </w:numPr>
        <w:spacing w:line="480" w:lineRule="auto"/>
        <w:ind w:left="0" w:hanging="11"/>
      </w:pPr>
      <w:r w:rsidRPr="00BB5F82">
        <w:t>Looking at the body of evidence</w:t>
      </w:r>
      <w:r w:rsidR="003F1640">
        <w:t>,</w:t>
      </w:r>
      <w:r w:rsidRPr="00BB5F82">
        <w:t xml:space="preserve"> the COT acknowledged that</w:t>
      </w:r>
      <w:r w:rsidR="00477846">
        <w:t xml:space="preserve"> there </w:t>
      </w:r>
      <w:r w:rsidR="006E4069">
        <w:t>wa</w:t>
      </w:r>
      <w:r w:rsidR="00477846">
        <w:t xml:space="preserve">s clear evidence for BPA causing </w:t>
      </w:r>
      <w:r w:rsidR="00A90F4A">
        <w:t>inflammation</w:t>
      </w:r>
      <w:r w:rsidR="00ED43BB">
        <w:t xml:space="preserve"> and </w:t>
      </w:r>
      <w:r w:rsidR="00FE3579">
        <w:t>an increase</w:t>
      </w:r>
      <w:r w:rsidR="00536678">
        <w:t xml:space="preserve"> of</w:t>
      </w:r>
      <w:r w:rsidR="00FE3579">
        <w:t xml:space="preserve"> Th17 cells</w:t>
      </w:r>
      <w:r w:rsidR="00477846">
        <w:t>.</w:t>
      </w:r>
      <w:r w:rsidR="00345911">
        <w:t xml:space="preserve"> </w:t>
      </w:r>
      <w:r w:rsidR="008F2529">
        <w:t xml:space="preserve">Exposure of mice and their offspring to BPA resulted in increased </w:t>
      </w:r>
      <w:r w:rsidR="00584350">
        <w:t>interferon gamma (IFN-</w:t>
      </w:r>
      <w:r w:rsidR="00584350">
        <w:rPr>
          <w:rFonts w:cs="Arial"/>
        </w:rPr>
        <w:t>ɣ</w:t>
      </w:r>
      <w:r w:rsidR="00584350">
        <w:t xml:space="preserve">) </w:t>
      </w:r>
      <w:r w:rsidR="008F2529" w:rsidRPr="00C05657">
        <w:t>(colon, lamina propria, mesenteric lymph nodes (MLN)), Th1 cells (spleen) and Th17</w:t>
      </w:r>
      <w:r w:rsidR="00DC6820">
        <w:t xml:space="preserve"> cells</w:t>
      </w:r>
      <w:r w:rsidR="00213485">
        <w:t xml:space="preserve"> </w:t>
      </w:r>
      <w:r w:rsidR="008F2529" w:rsidRPr="00C05657">
        <w:t xml:space="preserve"> </w:t>
      </w:r>
      <w:r w:rsidR="00213485">
        <w:t>(</w:t>
      </w:r>
      <w:r w:rsidR="008F2529" w:rsidRPr="00C05657">
        <w:t xml:space="preserve">lamina propria, MLN, spleen) and a decrease in lysosome activity (intestine), </w:t>
      </w:r>
      <w:r w:rsidR="002C006C">
        <w:t>immunoglobulin A (</w:t>
      </w:r>
      <w:r w:rsidR="008F2529" w:rsidRPr="00C05657">
        <w:t>IgA</w:t>
      </w:r>
      <w:r w:rsidR="00F74CFC">
        <w:t>)</w:t>
      </w:r>
      <w:r w:rsidR="008F2529" w:rsidRPr="00C05657">
        <w:t xml:space="preserve"> concentration (faecal samples), IgA plasma cells (lamina propria), IgA cells (colon), activated T cells (lamina propria), Th cells (MLN), Treg cells (lamina propria, spleen) MLN dendritic cells</w:t>
      </w:r>
      <w:r w:rsidR="008F2529">
        <w:t xml:space="preserve"> and increases in </w:t>
      </w:r>
      <w:r w:rsidR="009C6F46">
        <w:t>interleukin-17 (</w:t>
      </w:r>
      <w:r w:rsidR="008F2529">
        <w:t>IL-17</w:t>
      </w:r>
      <w:r w:rsidR="009C6F46">
        <w:t>)</w:t>
      </w:r>
      <w:r w:rsidR="008F2529">
        <w:t xml:space="preserve">, IL-21, IL-6 and IL-23 </w:t>
      </w:r>
      <w:r w:rsidR="00695F20">
        <w:t xml:space="preserve">in the </w:t>
      </w:r>
      <w:r w:rsidR="008F2529">
        <w:t>serum. In addition</w:t>
      </w:r>
      <w:r w:rsidR="004107BF">
        <w:t>,</w:t>
      </w:r>
      <w:r w:rsidR="008F2529">
        <w:t xml:space="preserve"> </w:t>
      </w:r>
      <w:r w:rsidR="00AE7FFA">
        <w:t>changes</w:t>
      </w:r>
      <w:r w:rsidR="008F2529">
        <w:t xml:space="preserve"> in</w:t>
      </w:r>
      <w:r w:rsidR="004107BF">
        <w:t xml:space="preserve"> </w:t>
      </w:r>
      <w:r w:rsidR="002164E0">
        <w:t>anti-ovalbu</w:t>
      </w:r>
      <w:r w:rsidR="00BA62E7">
        <w:t>min (</w:t>
      </w:r>
      <w:r w:rsidR="00695F20">
        <w:t>a</w:t>
      </w:r>
      <w:r w:rsidR="00AE7FFA">
        <w:t>nti-OVA</w:t>
      </w:r>
      <w:r w:rsidR="00BA62E7">
        <w:t>)</w:t>
      </w:r>
      <w:r w:rsidR="004107BF">
        <w:t xml:space="preserve"> IgE</w:t>
      </w:r>
      <w:r w:rsidR="00532333">
        <w:t xml:space="preserve"> in serum w</w:t>
      </w:r>
      <w:r w:rsidR="00AE7FFA">
        <w:t>ere</w:t>
      </w:r>
      <w:r w:rsidR="00532333">
        <w:t xml:space="preserve"> </w:t>
      </w:r>
      <w:r w:rsidR="00AE7FFA">
        <w:t>reported as</w:t>
      </w:r>
      <w:r w:rsidR="00532333">
        <w:t xml:space="preserve"> well as </w:t>
      </w:r>
      <w:r w:rsidR="00AE7FFA">
        <w:t>changes</w:t>
      </w:r>
      <w:r w:rsidR="00495A24">
        <w:t xml:space="preserve"> in</w:t>
      </w:r>
      <w:r w:rsidR="00532333">
        <w:t xml:space="preserve"> </w:t>
      </w:r>
      <w:r w:rsidR="00C316E5">
        <w:t xml:space="preserve">IL-4, </w:t>
      </w:r>
      <w:r w:rsidR="00532333">
        <w:t>IL</w:t>
      </w:r>
      <w:r w:rsidR="00C316E5">
        <w:t>-</w:t>
      </w:r>
      <w:r w:rsidR="00532333">
        <w:t xml:space="preserve">13, </w:t>
      </w:r>
      <w:r w:rsidR="00196833">
        <w:t xml:space="preserve">tumour necrosis factor </w:t>
      </w:r>
      <w:r w:rsidR="0012445B">
        <w:rPr>
          <w:rFonts w:cs="Arial"/>
        </w:rPr>
        <w:t>alpha</w:t>
      </w:r>
      <w:r w:rsidR="004261CF">
        <w:rPr>
          <w:rFonts w:cs="Arial"/>
        </w:rPr>
        <w:t xml:space="preserve"> (</w:t>
      </w:r>
      <w:r w:rsidR="00C316E5">
        <w:t>TNF-</w:t>
      </w:r>
      <w:r w:rsidR="004261CF">
        <w:rPr>
          <w:rFonts w:cs="Arial"/>
        </w:rPr>
        <w:t>α</w:t>
      </w:r>
      <w:r w:rsidR="004261CF">
        <w:t>)</w:t>
      </w:r>
      <w:r w:rsidR="00C316E5">
        <w:t xml:space="preserve">, </w:t>
      </w:r>
      <w:r w:rsidR="00532333">
        <w:t>IFN-</w:t>
      </w:r>
      <w:r w:rsidR="00670BA9">
        <w:rPr>
          <w:rFonts w:cs="Arial"/>
        </w:rPr>
        <w:t>ɣ</w:t>
      </w:r>
      <w:r w:rsidR="00CF69DA">
        <w:t xml:space="preserve"> in splenocytes, </w:t>
      </w:r>
      <w:r w:rsidR="00437DB5">
        <w:t>percentage of</w:t>
      </w:r>
      <w:r w:rsidR="00CF69DA">
        <w:t xml:space="preserve"> macrophages and lymphocytes</w:t>
      </w:r>
      <w:r w:rsidR="00AE7FFA">
        <w:t xml:space="preserve">, </w:t>
      </w:r>
      <w:r w:rsidR="00C316E5">
        <w:t>eosinophils</w:t>
      </w:r>
      <w:r w:rsidR="00761D32">
        <w:t>,</w:t>
      </w:r>
      <w:r w:rsidR="002A0149">
        <w:t xml:space="preserve"> </w:t>
      </w:r>
      <w:r w:rsidR="00761D32">
        <w:t>neutrophiles</w:t>
      </w:r>
      <w:r w:rsidR="00223110">
        <w:t xml:space="preserve"> and the up- or downregulation of g</w:t>
      </w:r>
      <w:r w:rsidR="001B498E">
        <w:t xml:space="preserve">enes associated with inflammation </w:t>
      </w:r>
      <w:r w:rsidR="008F2529">
        <w:t>(</w:t>
      </w:r>
      <w:r w:rsidR="006B68D0">
        <w:t xml:space="preserve">Bodin et al., 2014; </w:t>
      </w:r>
      <w:r w:rsidR="006D6C28">
        <w:t xml:space="preserve">O’Brian et al., 2014; </w:t>
      </w:r>
      <w:r w:rsidR="008F2529">
        <w:t>Luo et al., 2016; Malaise et al., 2018</w:t>
      </w:r>
      <w:r w:rsidR="00090830">
        <w:t xml:space="preserve">; </w:t>
      </w:r>
      <w:r w:rsidR="00450B34">
        <w:t xml:space="preserve">Ye et al., 2023; </w:t>
      </w:r>
      <w:r w:rsidR="00373935">
        <w:t>Gu</w:t>
      </w:r>
      <w:r w:rsidR="00090830">
        <w:t xml:space="preserve"> et al., 2024</w:t>
      </w:r>
      <w:r w:rsidR="008F2529">
        <w:t xml:space="preserve">). </w:t>
      </w:r>
    </w:p>
    <w:p w14:paraId="225F815B" w14:textId="77777777" w:rsidR="00A01B9B" w:rsidRDefault="00A01B9B" w:rsidP="00A01B9B">
      <w:pPr>
        <w:pStyle w:val="ListParagraph"/>
      </w:pPr>
    </w:p>
    <w:p w14:paraId="2DA7D51B" w14:textId="6E23222A" w:rsidR="007B6424" w:rsidRDefault="00604F58" w:rsidP="00B31B67">
      <w:pPr>
        <w:pStyle w:val="ListParagraph"/>
        <w:numPr>
          <w:ilvl w:val="0"/>
          <w:numId w:val="46"/>
        </w:numPr>
        <w:spacing w:line="480" w:lineRule="auto"/>
        <w:ind w:left="0" w:hanging="11"/>
      </w:pPr>
      <w:r>
        <w:t xml:space="preserve">A study by Dong et al. </w:t>
      </w:r>
      <w:r w:rsidR="00437DB5">
        <w:t>(</w:t>
      </w:r>
      <w:r>
        <w:t>2023</w:t>
      </w:r>
      <w:r w:rsidR="00437DB5">
        <w:t>)</w:t>
      </w:r>
      <w:r>
        <w:t xml:space="preserve"> suggested that exposure to </w:t>
      </w:r>
      <w:r w:rsidR="00A01B9B">
        <w:t>BPA contribute</w:t>
      </w:r>
      <w:r w:rsidR="00FA5701">
        <w:t>d</w:t>
      </w:r>
      <w:r w:rsidR="00A01B9B">
        <w:t xml:space="preserve"> to the development of systemic lupus erythematosus (SLE)</w:t>
      </w:r>
      <w:r>
        <w:t xml:space="preserve">. However, it is important to </w:t>
      </w:r>
      <w:r>
        <w:lastRenderedPageBreak/>
        <w:t>note that th</w:t>
      </w:r>
      <w:r w:rsidR="0055207C">
        <w:t>is</w:t>
      </w:r>
      <w:r>
        <w:t xml:space="preserve"> study, as well as several other studies looking at </w:t>
      </w:r>
      <w:r w:rsidR="0055207C">
        <w:t xml:space="preserve">BPA </w:t>
      </w:r>
      <w:r w:rsidR="00070997">
        <w:t xml:space="preserve">exposure and inflammatory responses, used susceptible </w:t>
      </w:r>
      <w:r w:rsidR="00850199">
        <w:t>(</w:t>
      </w:r>
      <w:r w:rsidR="00070997">
        <w:t>animal</w:t>
      </w:r>
      <w:r w:rsidR="00850199">
        <w:t>)</w:t>
      </w:r>
      <w:r w:rsidR="00070997">
        <w:t xml:space="preserve"> models for inflammation. </w:t>
      </w:r>
      <w:r w:rsidR="00877B0A">
        <w:t>This</w:t>
      </w:r>
      <w:r w:rsidR="001B40FB">
        <w:t xml:space="preserve"> rais</w:t>
      </w:r>
      <w:r w:rsidR="00877B0A">
        <w:t>ed</w:t>
      </w:r>
      <w:r w:rsidR="001B40FB">
        <w:t xml:space="preserve"> the question whether the development of SLE in </w:t>
      </w:r>
      <w:r w:rsidR="00236449">
        <w:t>the susceptible</w:t>
      </w:r>
      <w:r w:rsidR="001B40FB">
        <w:t xml:space="preserve"> mice strain</w:t>
      </w:r>
      <w:r w:rsidR="00CA47D4">
        <w:t xml:space="preserve"> (</w:t>
      </w:r>
      <w:r w:rsidR="0015497B">
        <w:t>MRL/lpr)</w:t>
      </w:r>
      <w:r w:rsidR="00877B0A">
        <w:t xml:space="preserve">, or </w:t>
      </w:r>
      <w:r w:rsidR="003F1C41">
        <w:t>reduced lung function in murine asthma models</w:t>
      </w:r>
      <w:r w:rsidR="001B40FB">
        <w:t xml:space="preserve"> </w:t>
      </w:r>
      <w:r w:rsidR="003F1C41">
        <w:t>c</w:t>
      </w:r>
      <w:r w:rsidR="001B40FB">
        <w:t>ould be considered tru</w:t>
      </w:r>
      <w:r w:rsidR="003F1C41">
        <w:t>e</w:t>
      </w:r>
      <w:r w:rsidR="001B40FB">
        <w:t xml:space="preserve"> apical endpoint</w:t>
      </w:r>
      <w:r w:rsidR="003F1C41">
        <w:t>s</w:t>
      </w:r>
      <w:r w:rsidR="001B40FB">
        <w:t xml:space="preserve">. </w:t>
      </w:r>
      <w:r w:rsidR="001C2251">
        <w:t xml:space="preserve">The transferability of these results to humans </w:t>
      </w:r>
      <w:r w:rsidR="00744ABC">
        <w:t>wa</w:t>
      </w:r>
      <w:r w:rsidR="001C2251">
        <w:t xml:space="preserve">s </w:t>
      </w:r>
      <w:r w:rsidR="00310332">
        <w:t>further</w:t>
      </w:r>
      <w:r w:rsidR="001C2251">
        <w:t xml:space="preserve"> unclear</w:t>
      </w:r>
      <w:r w:rsidR="0043702E">
        <w:t xml:space="preserve">, disease models in mice not being representative of the human situation. </w:t>
      </w:r>
      <w:r w:rsidR="001B40FB">
        <w:t xml:space="preserve">In addition, not all studies </w:t>
      </w:r>
      <w:r w:rsidR="002B439D">
        <w:t xml:space="preserve">assessing immunological endpoints </w:t>
      </w:r>
      <w:r w:rsidR="001B40FB">
        <w:t xml:space="preserve">were conducted to OECD </w:t>
      </w:r>
      <w:r w:rsidR="00A422D8">
        <w:t xml:space="preserve">guidelines or </w:t>
      </w:r>
      <w:r w:rsidR="00BA73B4">
        <w:t>good laboratory practice (</w:t>
      </w:r>
      <w:r w:rsidR="00A422D8">
        <w:t>GLP</w:t>
      </w:r>
      <w:r w:rsidR="00BA73B4">
        <w:t>)</w:t>
      </w:r>
      <w:r w:rsidR="00A422D8">
        <w:t xml:space="preserve"> standards. Hence, </w:t>
      </w:r>
      <w:r w:rsidR="001B40FB">
        <w:t xml:space="preserve">The COT considered, that </w:t>
      </w:r>
      <w:r w:rsidR="00A422D8">
        <w:t xml:space="preserve">while these </w:t>
      </w:r>
      <w:r w:rsidR="00E0246A">
        <w:t>studies add</w:t>
      </w:r>
      <w:r w:rsidR="00EA12AA">
        <w:t>ed</w:t>
      </w:r>
      <w:r w:rsidR="00E0246A">
        <w:t xml:space="preserve"> to the overall body of evidence, they </w:t>
      </w:r>
      <w:r w:rsidR="000B2231">
        <w:t>ha</w:t>
      </w:r>
      <w:r w:rsidR="008F3B83">
        <w:t>d</w:t>
      </w:r>
      <w:r w:rsidR="000B2231">
        <w:t xml:space="preserve"> a number of </w:t>
      </w:r>
      <w:r w:rsidR="00701529">
        <w:t>limitations,</w:t>
      </w:r>
      <w:r w:rsidR="000B2231">
        <w:t xml:space="preserve"> and it </w:t>
      </w:r>
      <w:r w:rsidR="008F3B83">
        <w:t>wa</w:t>
      </w:r>
      <w:r w:rsidR="000B2231">
        <w:t>s unclear whether th</w:t>
      </w:r>
      <w:r w:rsidR="001B40FB">
        <w:t>ey demonstrate</w:t>
      </w:r>
      <w:r w:rsidR="003F01C0">
        <w:t>d</w:t>
      </w:r>
      <w:r w:rsidR="000B2231">
        <w:t xml:space="preserve"> a true effect of BPA.</w:t>
      </w:r>
    </w:p>
    <w:p w14:paraId="2A68918E" w14:textId="77777777" w:rsidR="00A01B9B" w:rsidRDefault="00A01B9B" w:rsidP="00A01B9B">
      <w:pPr>
        <w:pStyle w:val="ListParagraph"/>
        <w:spacing w:line="480" w:lineRule="auto"/>
        <w:ind w:left="0"/>
      </w:pPr>
    </w:p>
    <w:p w14:paraId="4979FEF6" w14:textId="0325C021" w:rsidR="00E402A7" w:rsidRDefault="00326A87" w:rsidP="00C373DA">
      <w:pPr>
        <w:pStyle w:val="ListParagraph"/>
        <w:numPr>
          <w:ilvl w:val="0"/>
          <w:numId w:val="46"/>
        </w:numPr>
        <w:spacing w:line="480" w:lineRule="auto"/>
        <w:ind w:left="0" w:hanging="11"/>
      </w:pPr>
      <w:r>
        <w:t xml:space="preserve">Th17 cells are well established as </w:t>
      </w:r>
      <w:r w:rsidR="00DB59E5">
        <w:t xml:space="preserve">an </w:t>
      </w:r>
      <w:r>
        <w:t xml:space="preserve">indicator/marker for inflammation, however, </w:t>
      </w:r>
      <w:r w:rsidR="001A0C1F">
        <w:t xml:space="preserve">because </w:t>
      </w:r>
      <w:r w:rsidR="002610BC">
        <w:t xml:space="preserve">inflammation is </w:t>
      </w:r>
      <w:r w:rsidR="001A0C1F">
        <w:t>driven by</w:t>
      </w:r>
      <w:r w:rsidR="002610BC">
        <w:t xml:space="preserve"> numerous factors</w:t>
      </w:r>
      <w:r w:rsidR="00395764">
        <w:t xml:space="preserve">, </w:t>
      </w:r>
      <w:r w:rsidR="0065422C">
        <w:t xml:space="preserve">it </w:t>
      </w:r>
      <w:r w:rsidR="001A5C54">
        <w:t>i</w:t>
      </w:r>
      <w:r w:rsidR="0062572E">
        <w:t>s un</w:t>
      </w:r>
      <w:r w:rsidR="00FC3C9B">
        <w:t xml:space="preserve">clear what an apical endpoint </w:t>
      </w:r>
      <w:r w:rsidR="001A5C54">
        <w:t>based on</w:t>
      </w:r>
      <w:r w:rsidR="001A0C1F">
        <w:t xml:space="preserve"> </w:t>
      </w:r>
      <w:r w:rsidR="00FC3C9B">
        <w:t>change</w:t>
      </w:r>
      <w:r w:rsidR="001A0C1F">
        <w:t>s</w:t>
      </w:r>
      <w:r w:rsidR="00FC3C9B">
        <w:t xml:space="preserve"> in Th17 cells would </w:t>
      </w:r>
      <w:r w:rsidR="00374C8E">
        <w:t>represent</w:t>
      </w:r>
      <w:r w:rsidR="00FC3C9B">
        <w:t>.</w:t>
      </w:r>
      <w:r>
        <w:t xml:space="preserve"> </w:t>
      </w:r>
      <w:r w:rsidR="00CA161F">
        <w:t xml:space="preserve">To date there </w:t>
      </w:r>
      <w:r w:rsidR="00782C69">
        <w:t>have been</w:t>
      </w:r>
      <w:r w:rsidR="00CA161F">
        <w:t xml:space="preserve"> no </w:t>
      </w:r>
      <w:r w:rsidR="00815D09">
        <w:t xml:space="preserve">studies available showing the progression from </w:t>
      </w:r>
      <w:r w:rsidR="00052F2F">
        <w:t xml:space="preserve">such an intermediate endpoint, i.e. </w:t>
      </w:r>
      <w:r w:rsidR="00815D09">
        <w:t>an increase of Th17 cells</w:t>
      </w:r>
      <w:r w:rsidR="00A7594F">
        <w:t>,</w:t>
      </w:r>
      <w:r w:rsidR="00815D09">
        <w:t xml:space="preserve"> to </w:t>
      </w:r>
      <w:r w:rsidR="009B1E1E">
        <w:t>an apical effect, i.e. an</w:t>
      </w:r>
      <w:r w:rsidR="00815D09">
        <w:t xml:space="preserve"> inflammatory response/effect</w:t>
      </w:r>
      <w:r w:rsidR="005C15C0">
        <w:t>,</w:t>
      </w:r>
      <w:r w:rsidR="0002752F">
        <w:t xml:space="preserve"> at a </w:t>
      </w:r>
      <w:r w:rsidR="00900403">
        <w:t xml:space="preserve">concentration of </w:t>
      </w:r>
      <w:r w:rsidR="0002752F">
        <w:t xml:space="preserve">BPA </w:t>
      </w:r>
      <w:r w:rsidR="00D74C4A">
        <w:t>relevant to human exposure</w:t>
      </w:r>
      <w:r w:rsidR="00815D09">
        <w:t>.</w:t>
      </w:r>
      <w:r w:rsidR="00D74C4A">
        <w:t xml:space="preserve"> </w:t>
      </w:r>
      <w:r w:rsidR="00A047D3">
        <w:t>In addition,</w:t>
      </w:r>
      <w:r w:rsidR="00D74C4A">
        <w:t xml:space="preserve"> no </w:t>
      </w:r>
      <w:r w:rsidR="00815D09">
        <w:t xml:space="preserve">data </w:t>
      </w:r>
      <w:r w:rsidR="00A047D3">
        <w:t>ha</w:t>
      </w:r>
      <w:r w:rsidR="00A460CC">
        <w:t>ve</w:t>
      </w:r>
      <w:r w:rsidR="00A047D3">
        <w:t xml:space="preserve"> been </w:t>
      </w:r>
      <w:r w:rsidR="00815D09">
        <w:t>available demonstrating a clear linkage</w:t>
      </w:r>
      <w:r w:rsidR="00FD43E2">
        <w:t xml:space="preserve"> or adverse outcome pathway (AOP)</w:t>
      </w:r>
      <w:r w:rsidR="00815D09">
        <w:t xml:space="preserve"> of BPA exposure to an adverse immunological endpoint.  </w:t>
      </w:r>
    </w:p>
    <w:p w14:paraId="6836FC28" w14:textId="77777777" w:rsidR="00E402A7" w:rsidRDefault="00E402A7" w:rsidP="00E402A7">
      <w:pPr>
        <w:pStyle w:val="ListParagraph"/>
      </w:pPr>
    </w:p>
    <w:p w14:paraId="37127724" w14:textId="6D000583" w:rsidR="000A46D5" w:rsidRDefault="00C76DE7" w:rsidP="00C373DA">
      <w:pPr>
        <w:pStyle w:val="ListParagraph"/>
        <w:numPr>
          <w:ilvl w:val="0"/>
          <w:numId w:val="46"/>
        </w:numPr>
        <w:spacing w:line="480" w:lineRule="auto"/>
        <w:ind w:left="0" w:hanging="11"/>
      </w:pPr>
      <w:r>
        <w:t>In general</w:t>
      </w:r>
      <w:r w:rsidR="00700A2B">
        <w:t>, t</w:t>
      </w:r>
      <w:r w:rsidR="00215A2F" w:rsidRPr="009642FC">
        <w:t>he C</w:t>
      </w:r>
      <w:r w:rsidR="00215A2F">
        <w:t>OT</w:t>
      </w:r>
      <w:r w:rsidR="00215A2F" w:rsidRPr="009642FC">
        <w:t xml:space="preserve"> </w:t>
      </w:r>
      <w:r w:rsidR="00304C1E">
        <w:t>queried whether an intermediate endpoint would be sufficiently robust to derive a HBGV</w:t>
      </w:r>
      <w:r w:rsidR="00D914D1">
        <w:t>,</w:t>
      </w:r>
      <w:r w:rsidR="0048661A">
        <w:t xml:space="preserve"> but </w:t>
      </w:r>
      <w:r w:rsidR="00CF3636">
        <w:t xml:space="preserve">they </w:t>
      </w:r>
      <w:r w:rsidR="0048661A">
        <w:t xml:space="preserve">specifically did not agree </w:t>
      </w:r>
      <w:r w:rsidR="000F0322">
        <w:t xml:space="preserve">with EFSA </w:t>
      </w:r>
      <w:r w:rsidR="0048661A">
        <w:t xml:space="preserve">that </w:t>
      </w:r>
      <w:r w:rsidR="007A2803">
        <w:t>an</w:t>
      </w:r>
      <w:r w:rsidR="0048661A">
        <w:t xml:space="preserve"> </w:t>
      </w:r>
      <w:r w:rsidR="001B4D0E" w:rsidRPr="00E402A7">
        <w:rPr>
          <w:rFonts w:cs="Arial"/>
          <w:szCs w:val="24"/>
        </w:rPr>
        <w:t xml:space="preserve">increase in percentage of </w:t>
      </w:r>
      <w:r w:rsidR="001B4D0E">
        <w:t>Th17 cells was a scientifically relevant and robust intermediate endpoint to be utilised in the derivation of a new HBGV</w:t>
      </w:r>
      <w:r w:rsidR="009F2D21">
        <w:t xml:space="preserve"> for BPA</w:t>
      </w:r>
      <w:r w:rsidR="001B4D0E">
        <w:t>.</w:t>
      </w:r>
      <w:r w:rsidR="007A6354">
        <w:t xml:space="preserve"> </w:t>
      </w:r>
      <w:r w:rsidR="003466A1">
        <w:t xml:space="preserve">After weighing the available data, </w:t>
      </w:r>
      <w:r w:rsidR="00423749">
        <w:t>t</w:t>
      </w:r>
      <w:r w:rsidR="003466A1">
        <w:t>he COT concluded that a</w:t>
      </w:r>
      <w:r w:rsidR="009279E9" w:rsidRPr="00E402A7">
        <w:rPr>
          <w:rFonts w:cs="Arial"/>
        </w:rPr>
        <w:t>ppropriate</w:t>
      </w:r>
      <w:r w:rsidR="0029075F" w:rsidRPr="00E402A7">
        <w:rPr>
          <w:rFonts w:cs="Arial"/>
        </w:rPr>
        <w:t xml:space="preserve"> evidence </w:t>
      </w:r>
      <w:r w:rsidR="009279E9" w:rsidRPr="00E402A7">
        <w:rPr>
          <w:rFonts w:cs="Arial"/>
        </w:rPr>
        <w:t xml:space="preserve">was </w:t>
      </w:r>
      <w:r w:rsidR="009279E9" w:rsidRPr="00E402A7">
        <w:rPr>
          <w:rFonts w:cs="Arial"/>
        </w:rPr>
        <w:lastRenderedPageBreak/>
        <w:t>lacking</w:t>
      </w:r>
      <w:r w:rsidR="00C373DA" w:rsidRPr="00E402A7">
        <w:rPr>
          <w:rFonts w:cs="Arial"/>
        </w:rPr>
        <w:t xml:space="preserve"> </w:t>
      </w:r>
      <w:r w:rsidR="008346CE" w:rsidRPr="00E402A7">
        <w:rPr>
          <w:rFonts w:cs="Arial"/>
        </w:rPr>
        <w:t xml:space="preserve">that the change in Th17 cells </w:t>
      </w:r>
      <w:r w:rsidR="00204C70">
        <w:rPr>
          <w:rFonts w:cs="Arial"/>
        </w:rPr>
        <w:t xml:space="preserve">consistently </w:t>
      </w:r>
      <w:r w:rsidR="004203FD">
        <w:rPr>
          <w:rFonts w:cs="Arial"/>
        </w:rPr>
        <w:t>led</w:t>
      </w:r>
      <w:r w:rsidR="00204C70">
        <w:rPr>
          <w:rFonts w:cs="Arial"/>
        </w:rPr>
        <w:t xml:space="preserve"> to </w:t>
      </w:r>
      <w:r w:rsidR="008346CE" w:rsidRPr="00E402A7">
        <w:rPr>
          <w:rFonts w:cs="Arial"/>
        </w:rPr>
        <w:t>adverse immune effect</w:t>
      </w:r>
      <w:r w:rsidR="0088049F">
        <w:rPr>
          <w:rFonts w:cs="Arial"/>
        </w:rPr>
        <w:t xml:space="preserve">s or </w:t>
      </w:r>
      <w:r w:rsidR="008346CE" w:rsidRPr="00E402A7">
        <w:rPr>
          <w:rFonts w:cs="Arial"/>
        </w:rPr>
        <w:t>inflammatory response</w:t>
      </w:r>
      <w:r w:rsidR="00C373DA" w:rsidRPr="00E402A7">
        <w:rPr>
          <w:rFonts w:cs="Arial"/>
        </w:rPr>
        <w:t xml:space="preserve"> in humans</w:t>
      </w:r>
      <w:r w:rsidR="0088049F">
        <w:rPr>
          <w:rFonts w:cs="Arial"/>
        </w:rPr>
        <w:t>.</w:t>
      </w:r>
      <w:r w:rsidR="00C373DA" w:rsidRPr="00E402A7">
        <w:rPr>
          <w:rFonts w:cs="Arial"/>
        </w:rPr>
        <w:t xml:space="preserve"> </w:t>
      </w:r>
      <w:r w:rsidR="0088049F">
        <w:rPr>
          <w:rFonts w:cs="Arial"/>
        </w:rPr>
        <w:t>Therefore,</w:t>
      </w:r>
      <w:r w:rsidR="00C373DA" w:rsidRPr="00E402A7">
        <w:rPr>
          <w:rFonts w:cs="Arial"/>
        </w:rPr>
        <w:t xml:space="preserve"> i</w:t>
      </w:r>
      <w:r w:rsidR="00807FB2" w:rsidRPr="00E402A7">
        <w:rPr>
          <w:rFonts w:cs="Arial"/>
          <w:szCs w:val="24"/>
        </w:rPr>
        <w:t xml:space="preserve">mmunological effects </w:t>
      </w:r>
      <w:r w:rsidR="004D0E7D" w:rsidRPr="00E402A7">
        <w:rPr>
          <w:rFonts w:cs="Arial"/>
          <w:szCs w:val="24"/>
        </w:rPr>
        <w:t>were</w:t>
      </w:r>
      <w:r w:rsidR="00807FB2" w:rsidRPr="00E402A7">
        <w:rPr>
          <w:rFonts w:cs="Arial"/>
          <w:szCs w:val="24"/>
        </w:rPr>
        <w:t xml:space="preserve"> not </w:t>
      </w:r>
      <w:r w:rsidR="00D914D1" w:rsidRPr="00E402A7">
        <w:rPr>
          <w:rFonts w:cs="Arial"/>
          <w:szCs w:val="24"/>
        </w:rPr>
        <w:t>scientifically</w:t>
      </w:r>
      <w:r w:rsidR="00807FB2" w:rsidRPr="00E402A7">
        <w:rPr>
          <w:rFonts w:cs="Arial"/>
          <w:szCs w:val="24"/>
        </w:rPr>
        <w:t xml:space="preserve"> justifiable </w:t>
      </w:r>
      <w:r w:rsidR="00D914D1" w:rsidRPr="00E402A7">
        <w:rPr>
          <w:rFonts w:cs="Arial"/>
          <w:szCs w:val="24"/>
        </w:rPr>
        <w:t>to predict</w:t>
      </w:r>
      <w:r w:rsidR="00B6229D" w:rsidRPr="00E402A7">
        <w:rPr>
          <w:rFonts w:cs="Arial"/>
          <w:szCs w:val="24"/>
        </w:rPr>
        <w:t xml:space="preserve"> adverse health </w:t>
      </w:r>
      <w:r w:rsidR="006C7F25">
        <w:rPr>
          <w:rFonts w:cs="Arial"/>
          <w:szCs w:val="24"/>
        </w:rPr>
        <w:t xml:space="preserve">effects </w:t>
      </w:r>
      <w:r w:rsidR="004D0E7D" w:rsidRPr="00E402A7">
        <w:rPr>
          <w:rFonts w:cs="Arial"/>
          <w:szCs w:val="24"/>
        </w:rPr>
        <w:t>of BPA</w:t>
      </w:r>
      <w:r w:rsidR="00F947C1" w:rsidRPr="00E402A7">
        <w:rPr>
          <w:rFonts w:cs="Arial"/>
          <w:szCs w:val="24"/>
        </w:rPr>
        <w:t xml:space="preserve">. Given </w:t>
      </w:r>
      <w:r w:rsidR="000A46D5">
        <w:t xml:space="preserve">the uncertainties over the endpoint, a more robust </w:t>
      </w:r>
      <w:r w:rsidR="00025A76">
        <w:t>WoE</w:t>
      </w:r>
      <w:r w:rsidR="000A46D5">
        <w:t xml:space="preserve"> </w:t>
      </w:r>
      <w:r w:rsidR="00AE38BD">
        <w:t xml:space="preserve">approach </w:t>
      </w:r>
      <w:r w:rsidR="000A46D5">
        <w:t xml:space="preserve">and evidence integration should </w:t>
      </w:r>
      <w:r w:rsidR="00D914D1">
        <w:t>be</w:t>
      </w:r>
      <w:r w:rsidR="000A46D5">
        <w:t xml:space="preserve"> applied to a wider dataset to derive a more reliable and relevant endpoint on which to base the HBGV. </w:t>
      </w:r>
    </w:p>
    <w:p w14:paraId="3EA04B00" w14:textId="77777777" w:rsidR="00D34A89" w:rsidRDefault="00D34A89" w:rsidP="00D818EF">
      <w:pPr>
        <w:pStyle w:val="ListParagraph"/>
        <w:spacing w:line="480" w:lineRule="auto"/>
        <w:ind w:left="0"/>
        <w:rPr>
          <w:b/>
          <w:bCs/>
        </w:rPr>
      </w:pPr>
    </w:p>
    <w:p w14:paraId="790006CA" w14:textId="0FAE59C4" w:rsidR="00A32934" w:rsidRPr="00ED33B0" w:rsidRDefault="006F5B23" w:rsidP="00C22F7A">
      <w:pPr>
        <w:pStyle w:val="Heading2"/>
      </w:pPr>
      <w:r w:rsidRPr="00ED33B0">
        <w:t>R</w:t>
      </w:r>
      <w:r w:rsidR="00D818EF" w:rsidRPr="00ED33B0">
        <w:t>eproducti</w:t>
      </w:r>
      <w:r w:rsidRPr="00ED33B0">
        <w:t>ve effects</w:t>
      </w:r>
    </w:p>
    <w:p w14:paraId="5F4F6212" w14:textId="77777777" w:rsidR="00331AE7" w:rsidRDefault="00331AE7" w:rsidP="00331AE7">
      <w:pPr>
        <w:pStyle w:val="ListParagraph"/>
      </w:pPr>
    </w:p>
    <w:p w14:paraId="080368C2" w14:textId="48C6432A" w:rsidR="00C31532" w:rsidRDefault="00331AE7" w:rsidP="00970556">
      <w:pPr>
        <w:pStyle w:val="ListParagraph"/>
        <w:numPr>
          <w:ilvl w:val="0"/>
          <w:numId w:val="46"/>
        </w:numPr>
        <w:spacing w:line="480" w:lineRule="auto"/>
        <w:ind w:left="0" w:hanging="11"/>
      </w:pPr>
      <w:r>
        <w:t xml:space="preserve">In </w:t>
      </w:r>
      <w:r w:rsidR="000C3092" w:rsidRPr="000C3092">
        <w:t xml:space="preserve">2015, based on the available evidence, EFSA concluded that BPA caused adverse effects on reproduction. However, those effects were only seen in experimental animals, with high variability; effect doses varied from 100 - 450,000 µg/kg bw per day. In 2023, based on the </w:t>
      </w:r>
      <w:r w:rsidR="003D6930">
        <w:t>evidence</w:t>
      </w:r>
      <w:r w:rsidR="000C3092" w:rsidRPr="000C3092">
        <w:t xml:space="preserve"> </w:t>
      </w:r>
      <w:r w:rsidR="003D6930" w:rsidRPr="000C3092">
        <w:t>assessed</w:t>
      </w:r>
      <w:r w:rsidR="000C3092" w:rsidRPr="000C3092">
        <w:t xml:space="preserve">, EFSA concluded once more that BPA adversely affected development and male and female reproduction in experimental animals, i.e. an adverse effect was “likely”. In line with their previous </w:t>
      </w:r>
      <w:r w:rsidR="00A905AF">
        <w:t>assessment</w:t>
      </w:r>
      <w:r w:rsidR="000C3092" w:rsidRPr="000C3092">
        <w:t xml:space="preserve">, </w:t>
      </w:r>
      <w:r w:rsidR="00EE3354">
        <w:t xml:space="preserve">however, </w:t>
      </w:r>
      <w:r w:rsidR="000C3092" w:rsidRPr="000C3092">
        <w:t>EFSA considered the available human data not sufficient to establish a causal relationship between BPA exposure and developmental and/or reproductive effects in humans.</w:t>
      </w:r>
    </w:p>
    <w:p w14:paraId="126FA28F" w14:textId="77777777" w:rsidR="00C31532" w:rsidRDefault="00C31532" w:rsidP="00C31532">
      <w:pPr>
        <w:pStyle w:val="ListParagraph"/>
        <w:spacing w:line="480" w:lineRule="auto"/>
        <w:ind w:left="0"/>
      </w:pPr>
    </w:p>
    <w:p w14:paraId="0CB3EC6D" w14:textId="21EB4A79" w:rsidR="00970556" w:rsidRDefault="00973843" w:rsidP="00970556">
      <w:pPr>
        <w:pStyle w:val="ListParagraph"/>
        <w:numPr>
          <w:ilvl w:val="0"/>
          <w:numId w:val="46"/>
        </w:numPr>
        <w:spacing w:line="480" w:lineRule="auto"/>
        <w:ind w:left="0" w:hanging="11"/>
      </w:pPr>
      <w:r>
        <w:t xml:space="preserve">In 2023, </w:t>
      </w:r>
      <w:r w:rsidR="002F2730">
        <w:t>t</w:t>
      </w:r>
      <w:r w:rsidR="00331AE7">
        <w:t xml:space="preserve">he </w:t>
      </w:r>
      <w:r w:rsidR="00BB73CD">
        <w:t xml:space="preserve">BfR acknowledged </w:t>
      </w:r>
      <w:r w:rsidR="00642B02">
        <w:t xml:space="preserve">that </w:t>
      </w:r>
      <w:r w:rsidR="00BB73CD">
        <w:t xml:space="preserve">the </w:t>
      </w:r>
      <w:r w:rsidR="00331AE7">
        <w:t xml:space="preserve">variability </w:t>
      </w:r>
      <w:r w:rsidR="00BF4035">
        <w:t>in the data</w:t>
      </w:r>
      <w:r w:rsidR="00AC094D">
        <w:t xml:space="preserve">, including new evidence, </w:t>
      </w:r>
      <w:r w:rsidR="00331AE7">
        <w:t>continue</w:t>
      </w:r>
      <w:r w:rsidR="00BF4035">
        <w:t>d</w:t>
      </w:r>
      <w:r w:rsidR="00331AE7">
        <w:t xml:space="preserve"> to be considerable</w:t>
      </w:r>
      <w:r w:rsidR="002F2730">
        <w:t xml:space="preserve">, </w:t>
      </w:r>
      <w:r w:rsidR="00AC094D">
        <w:t>however they</w:t>
      </w:r>
      <w:r>
        <w:t xml:space="preserve"> </w:t>
      </w:r>
      <w:r w:rsidR="002F2730">
        <w:t>nonetheless</w:t>
      </w:r>
      <w:r w:rsidR="00664675">
        <w:t xml:space="preserve"> </w:t>
      </w:r>
      <w:r w:rsidR="00BF4035">
        <w:t>deemed</w:t>
      </w:r>
      <w:r w:rsidR="00664675">
        <w:t xml:space="preserve"> </w:t>
      </w:r>
      <w:r w:rsidR="008613FC">
        <w:t xml:space="preserve">the </w:t>
      </w:r>
      <w:r w:rsidR="00BA3023">
        <w:t>scientific evidence sufficient to consider</w:t>
      </w:r>
      <w:r w:rsidR="00F1517B">
        <w:t xml:space="preserve"> </w:t>
      </w:r>
      <w:r w:rsidR="008613FC">
        <w:t xml:space="preserve">effects on </w:t>
      </w:r>
      <w:r w:rsidR="008B145A" w:rsidRPr="00F01C34">
        <w:t xml:space="preserve">male </w:t>
      </w:r>
      <w:r w:rsidR="003C5D11" w:rsidRPr="00F01C34">
        <w:t>reproducti</w:t>
      </w:r>
      <w:r w:rsidR="00970556">
        <w:t>on</w:t>
      </w:r>
      <w:r w:rsidR="00F80D36">
        <w:t xml:space="preserve"> the </w:t>
      </w:r>
      <w:r w:rsidR="009B3820">
        <w:t>key adverse effect</w:t>
      </w:r>
      <w:r w:rsidR="00BF4035">
        <w:t xml:space="preserve"> of BPA</w:t>
      </w:r>
      <w:r w:rsidR="00793791">
        <w:t xml:space="preserve">. This was based on a </w:t>
      </w:r>
      <w:r w:rsidR="00246197">
        <w:t>WoE</w:t>
      </w:r>
      <w:r w:rsidR="00194AF2">
        <w:t xml:space="preserve"> </w:t>
      </w:r>
      <w:r w:rsidR="00793791">
        <w:t>approach</w:t>
      </w:r>
      <w:r w:rsidR="00D434B5">
        <w:t xml:space="preserve">, </w:t>
      </w:r>
      <w:r w:rsidR="00970556">
        <w:t>focuss</w:t>
      </w:r>
      <w:r w:rsidR="00D74511">
        <w:t>ing</w:t>
      </w:r>
      <w:r w:rsidR="00970556">
        <w:t xml:space="preserve"> on the most likely endpoints</w:t>
      </w:r>
      <w:r w:rsidR="00E92933">
        <w:t>,</w:t>
      </w:r>
      <w:r w:rsidR="00970556">
        <w:t xml:space="preserve"> as identified by EFSA </w:t>
      </w:r>
      <w:r w:rsidR="009B3820">
        <w:t>(</w:t>
      </w:r>
      <w:r w:rsidR="00970556">
        <w:t>202</w:t>
      </w:r>
      <w:r w:rsidR="00ED6928">
        <w:t>3</w:t>
      </w:r>
      <w:r w:rsidR="009B3820">
        <w:t>)</w:t>
      </w:r>
      <w:r w:rsidR="00970556">
        <w:t>, i.e. sperm motility, testis and epididymis histology.</w:t>
      </w:r>
    </w:p>
    <w:p w14:paraId="6507E782" w14:textId="77777777" w:rsidR="00740601" w:rsidRDefault="00740601" w:rsidP="00740601">
      <w:pPr>
        <w:pStyle w:val="ListParagraph"/>
      </w:pPr>
    </w:p>
    <w:p w14:paraId="739638A4" w14:textId="3C28C8D2" w:rsidR="00740601" w:rsidRDefault="00740601" w:rsidP="00970556">
      <w:pPr>
        <w:pStyle w:val="ListParagraph"/>
        <w:numPr>
          <w:ilvl w:val="0"/>
          <w:numId w:val="46"/>
        </w:numPr>
        <w:spacing w:line="480" w:lineRule="auto"/>
        <w:ind w:left="0" w:hanging="11"/>
      </w:pPr>
      <w:r>
        <w:lastRenderedPageBreak/>
        <w:t>The COT critically appraised both</w:t>
      </w:r>
      <w:r w:rsidR="007379E6">
        <w:t xml:space="preserve"> EFSA’s and the BfR’s</w:t>
      </w:r>
      <w:r>
        <w:t xml:space="preserve"> WoE approach</w:t>
      </w:r>
      <w:r w:rsidR="009722C6">
        <w:t xml:space="preserve"> and</w:t>
      </w:r>
      <w:r w:rsidR="00E77A17">
        <w:t xml:space="preserve"> </w:t>
      </w:r>
      <w:r w:rsidR="009722C6">
        <w:t xml:space="preserve">subsequently </w:t>
      </w:r>
      <w:r w:rsidR="00E77A17">
        <w:t>agreed with the BfR</w:t>
      </w:r>
      <w:r w:rsidR="009722C6">
        <w:t>'</w:t>
      </w:r>
      <w:r w:rsidR="00E77A17">
        <w:t xml:space="preserve">s selection of the </w:t>
      </w:r>
      <w:r w:rsidR="00FB526D">
        <w:t xml:space="preserve">key </w:t>
      </w:r>
      <w:r w:rsidR="00E77A17">
        <w:t xml:space="preserve">endpoint, </w:t>
      </w:r>
      <w:r w:rsidR="00F640EB">
        <w:t>i.e</w:t>
      </w:r>
      <w:r w:rsidR="00620193">
        <w:t>.</w:t>
      </w:r>
      <w:r w:rsidR="00F640EB">
        <w:t xml:space="preserve"> male </w:t>
      </w:r>
      <w:r w:rsidR="00620193">
        <w:t>reproduction</w:t>
      </w:r>
      <w:r w:rsidR="00F640EB">
        <w:t xml:space="preserve">. </w:t>
      </w:r>
      <w:r w:rsidR="00EC1CD3">
        <w:t>However, t</w:t>
      </w:r>
      <w:r w:rsidR="007B6865">
        <w:t>o ensure all relevant information</w:t>
      </w:r>
      <w:r w:rsidR="00331D51">
        <w:t xml:space="preserve"> had been </w:t>
      </w:r>
      <w:r w:rsidR="004E0D17">
        <w:t>evaluated</w:t>
      </w:r>
      <w:r w:rsidR="007B6865">
        <w:t xml:space="preserve">, the COT also </w:t>
      </w:r>
      <w:r w:rsidR="004E0D17">
        <w:t>considered</w:t>
      </w:r>
      <w:r w:rsidR="007B6865">
        <w:t xml:space="preserve"> </w:t>
      </w:r>
      <w:r w:rsidR="004452A4">
        <w:t xml:space="preserve">evidence </w:t>
      </w:r>
      <w:r w:rsidR="00017E89">
        <w:t xml:space="preserve">on reproduction </w:t>
      </w:r>
      <w:r w:rsidR="004452A4">
        <w:t xml:space="preserve">published since the BfR’s assessment. The new evidence was </w:t>
      </w:r>
      <w:r w:rsidR="00EC1CD3">
        <w:t xml:space="preserve">thereby </w:t>
      </w:r>
      <w:r w:rsidR="00DC3853">
        <w:t>categorised using the three stages of the develop</w:t>
      </w:r>
      <w:r w:rsidR="000E513E">
        <w:t xml:space="preserve">mental and reproductive cycle and separated into studies of male and female biology to ensure </w:t>
      </w:r>
      <w:r w:rsidR="00AB5763">
        <w:t>the appropriate endpoints were reviewed in line with the WoE approached used by the BfR</w:t>
      </w:r>
      <w:r w:rsidR="004452A4">
        <w:t xml:space="preserve"> (Figure 1</w:t>
      </w:r>
      <w:r w:rsidR="00F86490">
        <w:t xml:space="preserve">). </w:t>
      </w:r>
    </w:p>
    <w:p w14:paraId="62183032" w14:textId="77777777" w:rsidR="00321414" w:rsidRDefault="00321414" w:rsidP="00321414">
      <w:pPr>
        <w:pStyle w:val="ListParagraph"/>
      </w:pPr>
    </w:p>
    <w:p w14:paraId="1F0E4980" w14:textId="0348D810" w:rsidR="00385CBC" w:rsidRDefault="004A599E" w:rsidP="004A599E">
      <w:pPr>
        <w:pStyle w:val="ListParagraph"/>
        <w:spacing w:line="480" w:lineRule="auto"/>
        <w:ind w:left="0"/>
        <w:jc w:val="center"/>
      </w:pPr>
      <w:r>
        <w:rPr>
          <w:noProof/>
        </w:rPr>
        <w:drawing>
          <wp:inline distT="0" distB="0" distL="0" distR="0" wp14:anchorId="468E0827" wp14:editId="24B6C730">
            <wp:extent cx="3458818" cy="3179667"/>
            <wp:effectExtent l="0" t="0" r="8890" b="1905"/>
            <wp:docPr id="1218919928" name="Picture 1" descr="This diagram is a scematic showing the reproductive and developmental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19928" name="Picture 1" descr="This diagram is a scematic showing the reproductive and developmental cyc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01145" cy="3218578"/>
                    </a:xfrm>
                    <a:prstGeom prst="rect">
                      <a:avLst/>
                    </a:prstGeom>
                    <a:noFill/>
                  </pic:spPr>
                </pic:pic>
              </a:graphicData>
            </a:graphic>
          </wp:inline>
        </w:drawing>
      </w:r>
    </w:p>
    <w:p w14:paraId="64E7F0C1" w14:textId="77777777" w:rsidR="0004284E" w:rsidRDefault="0004284E" w:rsidP="00B05F4D">
      <w:pPr>
        <w:pStyle w:val="ListParagraph"/>
        <w:spacing w:line="480" w:lineRule="auto"/>
        <w:ind w:left="0"/>
      </w:pPr>
    </w:p>
    <w:p w14:paraId="37CF9FC4" w14:textId="7CE128D2" w:rsidR="00B05F4D" w:rsidRDefault="000B3620" w:rsidP="00B05F4D">
      <w:pPr>
        <w:pStyle w:val="ListParagraph"/>
        <w:spacing w:line="480" w:lineRule="auto"/>
        <w:ind w:left="0"/>
      </w:pPr>
      <w:r>
        <w:t>Figure 1</w:t>
      </w:r>
      <w:r w:rsidR="006A6248">
        <w:t>:</w:t>
      </w:r>
      <w:r w:rsidR="00B05F4D">
        <w:t xml:space="preserve"> </w:t>
      </w:r>
      <w:r w:rsidR="00954AA6">
        <w:t>T</w:t>
      </w:r>
      <w:r w:rsidR="00B05F4D">
        <w:t>he reproductive and developmental cycle</w:t>
      </w:r>
      <w:r w:rsidR="00954AA6">
        <w:t>,</w:t>
      </w:r>
      <w:r w:rsidR="00B05F4D">
        <w:t xml:space="preserve"> adapted from IPCS (2001) and Spielmann (2009). The graph also includes the testing strategy by the FDA </w:t>
      </w:r>
      <w:r w:rsidR="006E2D9B" w:rsidRPr="006E2D9B">
        <w:t>(19</w:t>
      </w:r>
      <w:r w:rsidR="004A1C62">
        <w:t>66</w:t>
      </w:r>
      <w:r w:rsidR="006E2D9B" w:rsidRPr="006E2D9B">
        <w:t>; ICH, S5(R3), 2021)</w:t>
      </w:r>
      <w:r w:rsidR="00B05F4D">
        <w:t xml:space="preserve">, i.e. segments I (fertility), II </w:t>
      </w:r>
      <w:r w:rsidR="00954AA6">
        <w:t>(</w:t>
      </w:r>
      <w:r w:rsidR="00B05F4D">
        <w:t xml:space="preserve">embryotoxicity/teratogenicity) and III (peri-post-natal toxicity), and stages A (pre-mating conception), B (conception to implementation), C (implementation to closure of the hard palate), D (closure of hard </w:t>
      </w:r>
      <w:r w:rsidR="00B05F4D">
        <w:lastRenderedPageBreak/>
        <w:t xml:space="preserve">palate to end of pregnancy), E (birth to weaning) and F (weaning to sexual maturity). Stage C spans both segment II and III, as indicated by the orange line. </w:t>
      </w:r>
    </w:p>
    <w:p w14:paraId="34686CAF" w14:textId="3330EB09" w:rsidR="002A0A2C" w:rsidRDefault="002A0A2C" w:rsidP="002A0A2C">
      <w:pPr>
        <w:pStyle w:val="ListParagraph"/>
        <w:spacing w:line="480" w:lineRule="auto"/>
        <w:ind w:left="0"/>
      </w:pPr>
    </w:p>
    <w:p w14:paraId="5C24E6FB" w14:textId="77777777" w:rsidR="002A0A2C" w:rsidRDefault="002A0A2C" w:rsidP="002A0A2C">
      <w:pPr>
        <w:pStyle w:val="ListParagraph"/>
        <w:spacing w:line="480" w:lineRule="auto"/>
        <w:ind w:left="0"/>
      </w:pPr>
    </w:p>
    <w:p w14:paraId="325BA44A" w14:textId="3C0BAFFA" w:rsidR="00F9238C" w:rsidRDefault="00A120B9" w:rsidP="00B31B67">
      <w:pPr>
        <w:pStyle w:val="ListParagraph"/>
        <w:numPr>
          <w:ilvl w:val="0"/>
          <w:numId w:val="46"/>
        </w:numPr>
        <w:spacing w:line="480" w:lineRule="auto"/>
        <w:ind w:left="0" w:hanging="11"/>
      </w:pPr>
      <w:r>
        <w:t xml:space="preserve">The </w:t>
      </w:r>
      <w:r w:rsidR="00950BDA">
        <w:t>n</w:t>
      </w:r>
      <w:r>
        <w:t>ew s</w:t>
      </w:r>
      <w:r w:rsidR="0049391B">
        <w:t xml:space="preserve">tudies </w:t>
      </w:r>
      <w:r w:rsidR="00950BDA">
        <w:t>(</w:t>
      </w:r>
      <w:r w:rsidR="00ED3020">
        <w:t>70</w:t>
      </w:r>
      <w:r w:rsidR="00950BDA">
        <w:t xml:space="preserve">) </w:t>
      </w:r>
      <w:r w:rsidR="0049391B">
        <w:t>on reproductive endpoint</w:t>
      </w:r>
      <w:r w:rsidR="007B54F8">
        <w:t xml:space="preserve">s </w:t>
      </w:r>
      <w:r w:rsidR="00FA3240">
        <w:t xml:space="preserve">were predominantly </w:t>
      </w:r>
      <w:r w:rsidR="00613AFC">
        <w:t>mechanistic and</w:t>
      </w:r>
      <w:r w:rsidR="00FA666E">
        <w:t>/or</w:t>
      </w:r>
      <w:r w:rsidR="00613AFC">
        <w:t xml:space="preserve"> </w:t>
      </w:r>
      <w:r w:rsidR="0003124D" w:rsidRPr="00C516C7">
        <w:rPr>
          <w:i/>
          <w:iCs/>
        </w:rPr>
        <w:t>in vitro</w:t>
      </w:r>
      <w:r w:rsidR="0003124D">
        <w:t xml:space="preserve"> studies</w:t>
      </w:r>
      <w:r w:rsidR="00487797">
        <w:t xml:space="preserve">. While these were supportive </w:t>
      </w:r>
      <w:r w:rsidR="00A7485C">
        <w:t xml:space="preserve">in </w:t>
      </w:r>
      <w:r w:rsidR="00487797">
        <w:t>provid</w:t>
      </w:r>
      <w:r w:rsidR="00A7485C">
        <w:t>ing</w:t>
      </w:r>
      <w:r w:rsidR="00487797">
        <w:t xml:space="preserve"> information on the mode of action (MoA) at relatively consistent dose range</w:t>
      </w:r>
      <w:r w:rsidR="002A09C1">
        <w:t>s</w:t>
      </w:r>
      <w:r w:rsidR="00487797">
        <w:t>, they did not provide any new knowledge on the MoA of BPA</w:t>
      </w:r>
      <w:r w:rsidR="002A09C1">
        <w:t xml:space="preserve"> on reproductive effects. </w:t>
      </w:r>
    </w:p>
    <w:p w14:paraId="04CE989F" w14:textId="77777777" w:rsidR="00C516C7" w:rsidRDefault="00C516C7" w:rsidP="00C516C7">
      <w:pPr>
        <w:pStyle w:val="ListParagraph"/>
        <w:spacing w:line="480" w:lineRule="auto"/>
        <w:ind w:left="0"/>
      </w:pPr>
    </w:p>
    <w:p w14:paraId="21170910" w14:textId="602570F1" w:rsidR="003F7A10" w:rsidRDefault="00CE6004" w:rsidP="00A734BB">
      <w:pPr>
        <w:pStyle w:val="ListParagraph"/>
        <w:numPr>
          <w:ilvl w:val="0"/>
          <w:numId w:val="46"/>
        </w:numPr>
        <w:spacing w:line="480" w:lineRule="auto"/>
        <w:ind w:left="0" w:hanging="11"/>
      </w:pPr>
      <w:r>
        <w:t xml:space="preserve">While several of the </w:t>
      </w:r>
      <w:r w:rsidRPr="00F9238C">
        <w:rPr>
          <w:i/>
          <w:iCs/>
        </w:rPr>
        <w:t>in vivo</w:t>
      </w:r>
      <w:r>
        <w:t xml:space="preserve"> studies focussed on </w:t>
      </w:r>
      <w:r w:rsidR="00CD6385">
        <w:t xml:space="preserve">interventions to </w:t>
      </w:r>
      <w:r w:rsidRPr="00DD220C">
        <w:t>ameliorate effects of BPA with various substances (including natural products</w:t>
      </w:r>
      <w:r>
        <w:t>), t</w:t>
      </w:r>
      <w:r w:rsidR="007D14DB">
        <w:t xml:space="preserve">he studies by </w:t>
      </w:r>
      <w:r w:rsidR="00A77DAF">
        <w:t xml:space="preserve">Molangiri et al. (2022) and </w:t>
      </w:r>
      <w:r w:rsidR="00A66486">
        <w:t xml:space="preserve">Sturm et al. (2022) assessed </w:t>
      </w:r>
      <w:r w:rsidR="00EC4B1F">
        <w:t xml:space="preserve">male reproductive endpoints after pregnancy exposure with low concentrations of BPA, </w:t>
      </w:r>
      <w:r w:rsidR="00691D10">
        <w:t>0.4</w:t>
      </w:r>
      <w:r w:rsidR="00655943">
        <w:t xml:space="preserve"> - </w:t>
      </w:r>
      <w:r w:rsidR="00691D10">
        <w:t xml:space="preserve">40 </w:t>
      </w:r>
      <w:r w:rsidR="00691D10" w:rsidRPr="00A734BB">
        <w:rPr>
          <w:rFonts w:cs="Arial"/>
        </w:rPr>
        <w:t>µ</w:t>
      </w:r>
      <w:r w:rsidR="00691D10">
        <w:t xml:space="preserve">g/kg bw per day and 25 </w:t>
      </w:r>
      <w:r w:rsidR="006F158E" w:rsidRPr="00A734BB">
        <w:rPr>
          <w:rFonts w:cs="Arial"/>
        </w:rPr>
        <w:t>µ</w:t>
      </w:r>
      <w:r w:rsidR="006F158E">
        <w:t>g/kg bw, respectively.</w:t>
      </w:r>
      <w:r w:rsidR="00246262">
        <w:t xml:space="preserve"> </w:t>
      </w:r>
      <w:r w:rsidR="00694406">
        <w:t>Molang</w:t>
      </w:r>
      <w:r w:rsidR="001C4395">
        <w:t>i</w:t>
      </w:r>
      <w:r w:rsidR="00694406">
        <w:t>ri et al. (2022) reported</w:t>
      </w:r>
      <w:r w:rsidR="009C2386">
        <w:t xml:space="preserve"> </w:t>
      </w:r>
      <w:r w:rsidR="00DE3C7E">
        <w:t>effects</w:t>
      </w:r>
      <w:r w:rsidR="009C2386">
        <w:t xml:space="preserve"> </w:t>
      </w:r>
      <w:r w:rsidR="0017319F">
        <w:t>on male reproduction</w:t>
      </w:r>
      <w:r w:rsidR="009C2386">
        <w:t xml:space="preserve">, </w:t>
      </w:r>
      <w:r w:rsidR="0017319F">
        <w:t>including</w:t>
      </w:r>
      <w:r w:rsidR="009C2386">
        <w:t xml:space="preserve"> high plasma testosterone</w:t>
      </w:r>
      <w:r w:rsidR="00BD3636">
        <w:t>, thickened membranes in the testis and reduced sperm motility</w:t>
      </w:r>
      <w:r w:rsidR="0041251C">
        <w:t xml:space="preserve"> via impaired </w:t>
      </w:r>
      <w:r w:rsidR="009C6921" w:rsidRPr="009C6921">
        <w:t>phosphatidylinositol 3-kinase</w:t>
      </w:r>
      <w:r w:rsidR="00234C72">
        <w:t>-</w:t>
      </w:r>
      <w:r w:rsidR="00234C72" w:rsidRPr="00234C72">
        <w:t xml:space="preserve">protein kinase B </w:t>
      </w:r>
      <w:r w:rsidR="00234C72">
        <w:t>(</w:t>
      </w:r>
      <w:r w:rsidR="0041251C">
        <w:t>PI3K-AKT</w:t>
      </w:r>
      <w:r w:rsidR="00234C72">
        <w:t>)</w:t>
      </w:r>
      <w:r w:rsidR="0041251C">
        <w:t xml:space="preserve"> signalling and increased testicular </w:t>
      </w:r>
      <w:r w:rsidR="00D9326F">
        <w:t>gene (</w:t>
      </w:r>
      <w:r w:rsidR="0041251C">
        <w:t>TEX11</w:t>
      </w:r>
      <w:r w:rsidR="00D9326F">
        <w:t>)</w:t>
      </w:r>
      <w:r w:rsidR="0041251C">
        <w:t xml:space="preserve"> </w:t>
      </w:r>
      <w:r w:rsidR="0017319F">
        <w:t>expression</w:t>
      </w:r>
      <w:r w:rsidR="006A36D6">
        <w:t xml:space="preserve">. </w:t>
      </w:r>
      <w:r w:rsidR="00F03027">
        <w:t>While the MoA</w:t>
      </w:r>
      <w:r w:rsidR="0078545D">
        <w:t xml:space="preserve"> for BPA </w:t>
      </w:r>
      <w:r w:rsidR="0062361D">
        <w:t>wa</w:t>
      </w:r>
      <w:r w:rsidR="0078545D">
        <w:t xml:space="preserve">s different, </w:t>
      </w:r>
      <w:r w:rsidR="005D5D89">
        <w:t xml:space="preserve">the study </w:t>
      </w:r>
      <w:r w:rsidR="00D74685">
        <w:t>suggested</w:t>
      </w:r>
      <w:r w:rsidR="005D5D89">
        <w:t xml:space="preserve"> a window of susceptibility </w:t>
      </w:r>
      <w:r w:rsidR="005D5D89" w:rsidRPr="005D5D89">
        <w:rPr>
          <w:i/>
          <w:iCs/>
        </w:rPr>
        <w:t>in utero</w:t>
      </w:r>
      <w:r w:rsidR="005D5D89">
        <w:t xml:space="preserve"> that could have long lasting effects on male reproduction. </w:t>
      </w:r>
      <w:r w:rsidR="00C0467C">
        <w:t>In contrast</w:t>
      </w:r>
      <w:r w:rsidR="00A734BB">
        <w:t>,</w:t>
      </w:r>
      <w:r w:rsidR="00D8701F">
        <w:t xml:space="preserve"> the study by</w:t>
      </w:r>
      <w:r w:rsidR="00A734BB">
        <w:t xml:space="preserve"> </w:t>
      </w:r>
      <w:r w:rsidR="00DF5EC4">
        <w:t xml:space="preserve">Sturm et al. (2022) did not </w:t>
      </w:r>
      <w:r w:rsidR="00C65C4E">
        <w:t>report</w:t>
      </w:r>
      <w:r w:rsidR="00DF5EC4">
        <w:t xml:space="preserve"> any </w:t>
      </w:r>
      <w:r w:rsidR="00D8701F">
        <w:t>reproductive effect</w:t>
      </w:r>
      <w:r w:rsidR="00F03027">
        <w:t>s</w:t>
      </w:r>
      <w:r w:rsidR="00F43F24">
        <w:t xml:space="preserve">. </w:t>
      </w:r>
      <w:r w:rsidR="00164C37">
        <w:t>While there w</w:t>
      </w:r>
      <w:r w:rsidR="00CF432C">
        <w:t>as</w:t>
      </w:r>
      <w:r w:rsidR="00164C37">
        <w:t xml:space="preserve"> some change in testicular tissues</w:t>
      </w:r>
      <w:r w:rsidR="0032041F">
        <w:t>, i.e. lower epithelial h</w:t>
      </w:r>
      <w:r w:rsidR="000F1095">
        <w:t>e</w:t>
      </w:r>
      <w:r w:rsidR="0032041F">
        <w:t xml:space="preserve">ight of seminiferous tubules, </w:t>
      </w:r>
      <w:r w:rsidR="00E370EA">
        <w:t>this change did not have an impact on the apical endpoint. However,</w:t>
      </w:r>
      <w:r w:rsidR="00164C37">
        <w:t xml:space="preserve"> </w:t>
      </w:r>
      <w:r w:rsidR="00E370EA">
        <w:t>a</w:t>
      </w:r>
      <w:r w:rsidR="00F43F24">
        <w:t>s th</w:t>
      </w:r>
      <w:r w:rsidR="00E370EA">
        <w:t xml:space="preserve">e study was undertaken </w:t>
      </w:r>
      <w:r w:rsidR="00F43F24">
        <w:t xml:space="preserve">at low concentration, </w:t>
      </w:r>
      <w:r w:rsidR="009605F0">
        <w:t>it</w:t>
      </w:r>
      <w:r w:rsidR="00F43F24">
        <w:t xml:space="preserve"> </w:t>
      </w:r>
      <w:r w:rsidR="00A11AFD">
        <w:t>add</w:t>
      </w:r>
      <w:r w:rsidR="00C0467C">
        <w:t>ed</w:t>
      </w:r>
      <w:r w:rsidR="00A11AFD">
        <w:t xml:space="preserve"> to the database around the lowest observed adverse </w:t>
      </w:r>
      <w:r w:rsidR="00226920">
        <w:t>e</w:t>
      </w:r>
      <w:r w:rsidR="00A11AFD">
        <w:t>ffect level (LOAEL)</w:t>
      </w:r>
      <w:r w:rsidR="00226920">
        <w:t xml:space="preserve"> and NOAEL of BPA. </w:t>
      </w:r>
    </w:p>
    <w:p w14:paraId="6843A903" w14:textId="77777777" w:rsidR="005B5330" w:rsidRDefault="005B5330" w:rsidP="005B5330">
      <w:pPr>
        <w:pStyle w:val="ListParagraph"/>
        <w:spacing w:line="480" w:lineRule="auto"/>
        <w:ind w:left="0"/>
      </w:pPr>
    </w:p>
    <w:p w14:paraId="4FEA5E1A" w14:textId="4B673E1D" w:rsidR="008B5246" w:rsidRDefault="009913E4" w:rsidP="00B31B67">
      <w:pPr>
        <w:pStyle w:val="ListParagraph"/>
        <w:numPr>
          <w:ilvl w:val="0"/>
          <w:numId w:val="46"/>
        </w:numPr>
        <w:spacing w:line="480" w:lineRule="auto"/>
        <w:ind w:left="0" w:hanging="11"/>
      </w:pPr>
      <w:r>
        <w:lastRenderedPageBreak/>
        <w:t>Recent e</w:t>
      </w:r>
      <w:r w:rsidR="00FC3A75">
        <w:t xml:space="preserve">pidemiological </w:t>
      </w:r>
      <w:r w:rsidR="00856302">
        <w:t>studies</w:t>
      </w:r>
      <w:r>
        <w:t xml:space="preserve"> were </w:t>
      </w:r>
      <w:r w:rsidR="00EC456F">
        <w:t>limited. Two biomonitoring studies</w:t>
      </w:r>
      <w:r w:rsidR="001C3B12">
        <w:t xml:space="preserve"> </w:t>
      </w:r>
      <w:r w:rsidR="00F432A2">
        <w:t xml:space="preserve">provided further evidence </w:t>
      </w:r>
      <w:r w:rsidR="0075453A">
        <w:t xml:space="preserve">of </w:t>
      </w:r>
      <w:r w:rsidR="00F263EC">
        <w:t xml:space="preserve">human </w:t>
      </w:r>
      <w:r w:rsidR="00F432A2">
        <w:t>exposure to BPA</w:t>
      </w:r>
      <w:r w:rsidR="0075453A">
        <w:t xml:space="preserve"> and potential risks to the population</w:t>
      </w:r>
      <w:r w:rsidR="00FF127A">
        <w:t xml:space="preserve">, however </w:t>
      </w:r>
      <w:r w:rsidR="00613BCC">
        <w:t>data</w:t>
      </w:r>
      <w:r w:rsidR="00FF127A">
        <w:t xml:space="preserve"> on reproductive or fertility endpoints w</w:t>
      </w:r>
      <w:r w:rsidR="00613BCC">
        <w:t>ere</w:t>
      </w:r>
      <w:r w:rsidR="00FF127A">
        <w:t xml:space="preserve"> lack</w:t>
      </w:r>
      <w:r w:rsidR="004A3FC5">
        <w:t xml:space="preserve">ing (Hwang et al., 2023; </w:t>
      </w:r>
      <w:r w:rsidR="009F7CBD">
        <w:t xml:space="preserve">Holmboe et al., 2022). </w:t>
      </w:r>
      <w:r w:rsidR="00046AAC">
        <w:t>A</w:t>
      </w:r>
      <w:r w:rsidR="00613BCC">
        <w:t xml:space="preserve"> </w:t>
      </w:r>
      <w:r w:rsidR="00084D3F">
        <w:t>cross-sectional</w:t>
      </w:r>
      <w:r w:rsidR="00613BCC">
        <w:t xml:space="preserve"> study by </w:t>
      </w:r>
      <w:r w:rsidR="00084D3F">
        <w:t xml:space="preserve">Jeseta et al. (2024) </w:t>
      </w:r>
      <w:r w:rsidR="00926ED4">
        <w:t>in 385 males (17</w:t>
      </w:r>
      <w:r w:rsidR="00D555C0">
        <w:t xml:space="preserve"> - </w:t>
      </w:r>
      <w:r w:rsidR="00926ED4">
        <w:t>62 years of age; 2019</w:t>
      </w:r>
      <w:r w:rsidR="00D555C0">
        <w:t xml:space="preserve"> - </w:t>
      </w:r>
      <w:r w:rsidR="00926ED4">
        <w:t xml:space="preserve">2021) provided a good assessment of </w:t>
      </w:r>
      <w:r w:rsidR="00957CBF">
        <w:t xml:space="preserve">BPA in male semen samples. </w:t>
      </w:r>
      <w:r w:rsidR="007258DC">
        <w:t>T</w:t>
      </w:r>
      <w:r w:rsidR="00957CBF">
        <w:t xml:space="preserve">he results </w:t>
      </w:r>
      <w:r w:rsidR="007258DC">
        <w:t>showed</w:t>
      </w:r>
      <w:r w:rsidR="00BE0D11">
        <w:t xml:space="preserve"> no </w:t>
      </w:r>
      <w:r w:rsidR="000B69CF">
        <w:t xml:space="preserve">significant </w:t>
      </w:r>
      <w:r w:rsidR="00BE0D11">
        <w:t>correlation between traditional markers of sperm health and BPA</w:t>
      </w:r>
      <w:r w:rsidR="00957CBF">
        <w:t>,</w:t>
      </w:r>
      <w:r w:rsidR="00BE0D11">
        <w:t xml:space="preserve"> </w:t>
      </w:r>
      <w:r w:rsidR="00D2075B">
        <w:t xml:space="preserve">such as </w:t>
      </w:r>
      <w:r w:rsidR="00534BB8">
        <w:t>sperm concentration, volume and total sperm count,</w:t>
      </w:r>
      <w:r w:rsidR="00984B38">
        <w:t xml:space="preserve"> a</w:t>
      </w:r>
      <w:r w:rsidR="007E3122">
        <w:t xml:space="preserve">nd integrity of </w:t>
      </w:r>
      <w:r w:rsidR="00E11FC6">
        <w:t>spermatozoa</w:t>
      </w:r>
      <w:r w:rsidR="00984B38">
        <w:t xml:space="preserve"> </w:t>
      </w:r>
      <w:r w:rsidR="00001930">
        <w:t>deoxy</w:t>
      </w:r>
      <w:r w:rsidR="00A129ED">
        <w:t>ribonucleic acid (</w:t>
      </w:r>
      <w:r w:rsidR="005B5330">
        <w:t>DNA</w:t>
      </w:r>
      <w:r w:rsidR="00A129ED">
        <w:t>)</w:t>
      </w:r>
      <w:r w:rsidR="009A4B1B">
        <w:t>,</w:t>
      </w:r>
      <w:r w:rsidR="005B5330">
        <w:t xml:space="preserve"> however</w:t>
      </w:r>
      <w:r w:rsidR="005919E8">
        <w:t xml:space="preserve">, the data did show </w:t>
      </w:r>
      <w:r w:rsidR="00DA7450">
        <w:t xml:space="preserve">significant correlation between the concentration of BPA and </w:t>
      </w:r>
      <w:r w:rsidR="00000307">
        <w:t>decreased sperm</w:t>
      </w:r>
      <w:r w:rsidR="00DA7450">
        <w:t xml:space="preserve"> motility and </w:t>
      </w:r>
      <w:r w:rsidR="009A3629">
        <w:t>altered</w:t>
      </w:r>
      <w:r w:rsidR="00DA7450">
        <w:t xml:space="preserve"> morphology.</w:t>
      </w:r>
      <w:r w:rsidR="00DD0E9F">
        <w:t xml:space="preserve"> </w:t>
      </w:r>
    </w:p>
    <w:p w14:paraId="53B65B25" w14:textId="77777777" w:rsidR="00C80B2D" w:rsidRDefault="00C80B2D" w:rsidP="00C80B2D">
      <w:pPr>
        <w:pStyle w:val="ListParagraph"/>
        <w:spacing w:line="480" w:lineRule="auto"/>
        <w:ind w:left="0"/>
      </w:pPr>
    </w:p>
    <w:p w14:paraId="441DC4E4" w14:textId="44887F5D" w:rsidR="000D6E7C" w:rsidRDefault="00EB29D1" w:rsidP="00B31B67">
      <w:pPr>
        <w:pStyle w:val="ListParagraph"/>
        <w:numPr>
          <w:ilvl w:val="0"/>
          <w:numId w:val="46"/>
        </w:numPr>
        <w:spacing w:line="480" w:lineRule="auto"/>
        <w:ind w:left="0" w:hanging="11"/>
      </w:pPr>
      <w:r>
        <w:t>Recent</w:t>
      </w:r>
      <w:r w:rsidR="00EC3DB3">
        <w:t xml:space="preserve"> </w:t>
      </w:r>
      <w:r w:rsidR="009A4B1B">
        <w:t>experimental</w:t>
      </w:r>
      <w:r w:rsidR="005614AC">
        <w:t xml:space="preserve"> </w:t>
      </w:r>
      <w:r w:rsidR="006B241D">
        <w:t>data on the adverse</w:t>
      </w:r>
      <w:r w:rsidR="000F31D7">
        <w:t xml:space="preserve"> effects</w:t>
      </w:r>
      <w:r w:rsidR="006B241D">
        <w:t xml:space="preserve"> of BPA</w:t>
      </w:r>
      <w:r w:rsidR="000F31D7">
        <w:t xml:space="preserve"> on the female reproductive system</w:t>
      </w:r>
      <w:r w:rsidR="0086449D">
        <w:t xml:space="preserve"> report</w:t>
      </w:r>
      <w:r>
        <w:t>ed</w:t>
      </w:r>
      <w:r w:rsidR="005966BF">
        <w:t xml:space="preserve"> effects on </w:t>
      </w:r>
      <w:r w:rsidR="00A56F06">
        <w:t xml:space="preserve">oocyte and ovarian weight as well as changes to </w:t>
      </w:r>
      <w:r w:rsidR="00FA5887">
        <w:t xml:space="preserve">reproductive hormones, ovarian </w:t>
      </w:r>
      <w:r w:rsidR="00A56F06">
        <w:t>follicles</w:t>
      </w:r>
      <w:r w:rsidR="00FA5887">
        <w:t xml:space="preserve"> and ovarian development</w:t>
      </w:r>
      <w:r w:rsidR="00D237E2">
        <w:t xml:space="preserve"> (</w:t>
      </w:r>
      <w:r w:rsidR="00200D97">
        <w:t>Ozkemahli et al., 2022; Gonzalez-Gomez et al., 2023</w:t>
      </w:r>
      <w:r w:rsidR="000D4324">
        <w:t>; Teteau et al., 2023</w:t>
      </w:r>
      <w:r w:rsidR="00200D97">
        <w:t>)</w:t>
      </w:r>
      <w:r w:rsidR="00EA01DF">
        <w:t>.</w:t>
      </w:r>
      <w:r w:rsidR="005614AC">
        <w:t xml:space="preserve"> </w:t>
      </w:r>
      <w:r w:rsidR="008F7CFA">
        <w:t>No</w:t>
      </w:r>
      <w:r w:rsidR="005614AC">
        <w:t xml:space="preserve"> evidence of </w:t>
      </w:r>
      <w:r w:rsidR="003D6B61">
        <w:t>causation</w:t>
      </w:r>
      <w:r w:rsidR="0076401C">
        <w:t xml:space="preserve"> could be</w:t>
      </w:r>
      <w:r w:rsidR="003D6B61">
        <w:t xml:space="preserve"> </w:t>
      </w:r>
      <w:r w:rsidR="0076401C">
        <w:t>established</w:t>
      </w:r>
      <w:r w:rsidR="003D6B61">
        <w:t xml:space="preserve"> in a </w:t>
      </w:r>
      <w:r w:rsidR="00C80B2D">
        <w:t xml:space="preserve">recent </w:t>
      </w:r>
      <w:r w:rsidR="003D6B61">
        <w:t>correlation study by Zhang et al. (2023)</w:t>
      </w:r>
      <w:r w:rsidR="0076401C">
        <w:t xml:space="preserve"> </w:t>
      </w:r>
      <w:r w:rsidR="00A94AAA">
        <w:t>assessing BPA exposure and ovarian function and oocyte reserve</w:t>
      </w:r>
      <w:r w:rsidR="00EF6E64">
        <w:t xml:space="preserve"> in 111 women from a fertility </w:t>
      </w:r>
      <w:r w:rsidR="005926B9">
        <w:t>c</w:t>
      </w:r>
      <w:r w:rsidR="00EF6E64">
        <w:t>lini</w:t>
      </w:r>
      <w:r w:rsidR="00144A01">
        <w:t>c</w:t>
      </w:r>
      <w:r w:rsidR="00EF6E64">
        <w:t xml:space="preserve"> in </w:t>
      </w:r>
      <w:r w:rsidR="00CA2DFE">
        <w:t>North China from 2020</w:t>
      </w:r>
      <w:r w:rsidR="00144A01">
        <w:t xml:space="preserve"> - </w:t>
      </w:r>
      <w:r w:rsidR="00CA2DFE">
        <w:t>2021</w:t>
      </w:r>
      <w:r w:rsidR="00A94AAA">
        <w:t xml:space="preserve">. </w:t>
      </w:r>
    </w:p>
    <w:p w14:paraId="45173119" w14:textId="77777777" w:rsidR="000D6E7C" w:rsidRDefault="000D6E7C" w:rsidP="000D6E7C">
      <w:pPr>
        <w:pStyle w:val="ListParagraph"/>
      </w:pPr>
    </w:p>
    <w:p w14:paraId="3252D282" w14:textId="30E860AC" w:rsidR="0015317E" w:rsidRDefault="009B0469" w:rsidP="00B31B67">
      <w:pPr>
        <w:pStyle w:val="ListParagraph"/>
        <w:numPr>
          <w:ilvl w:val="0"/>
          <w:numId w:val="46"/>
        </w:numPr>
        <w:spacing w:line="480" w:lineRule="auto"/>
        <w:ind w:left="0" w:hanging="11"/>
      </w:pPr>
      <w:r>
        <w:t>Generally</w:t>
      </w:r>
      <w:r w:rsidR="000F31D7">
        <w:t>,</w:t>
      </w:r>
      <w:r w:rsidR="00453FA3">
        <w:t xml:space="preserve"> effects </w:t>
      </w:r>
      <w:r w:rsidR="00200D97">
        <w:t xml:space="preserve">on the female reproductive system </w:t>
      </w:r>
      <w:r w:rsidR="00453FA3">
        <w:t xml:space="preserve">were seen at doses </w:t>
      </w:r>
      <w:r w:rsidR="00624EC1">
        <w:t xml:space="preserve">several magnitudes higher </w:t>
      </w:r>
      <w:r w:rsidR="00FE06B0">
        <w:t>tha</w:t>
      </w:r>
      <w:r w:rsidR="00CE5A88">
        <w:t>n</w:t>
      </w:r>
      <w:r w:rsidR="00FE06B0">
        <w:t xml:space="preserve"> the </w:t>
      </w:r>
      <w:r w:rsidR="00144A01">
        <w:t>POD</w:t>
      </w:r>
      <w:r w:rsidR="00CE5A88">
        <w:t xml:space="preserve"> used by</w:t>
      </w:r>
      <w:r w:rsidR="006077BB">
        <w:t xml:space="preserve"> both EFSA and the BfR</w:t>
      </w:r>
      <w:r w:rsidR="00BD7E80">
        <w:t xml:space="preserve">. </w:t>
      </w:r>
      <w:r w:rsidR="00A84A42">
        <w:t xml:space="preserve">Hence, effects on the female reproductive system have not been further considered </w:t>
      </w:r>
      <w:r w:rsidR="00784D17">
        <w:t>by the COT</w:t>
      </w:r>
      <w:r w:rsidR="00A84A42">
        <w:t xml:space="preserve"> and </w:t>
      </w:r>
      <w:r w:rsidR="00784D17">
        <w:t xml:space="preserve">the Committee </w:t>
      </w:r>
      <w:r w:rsidR="0050212B">
        <w:t>agreed with the BfR that</w:t>
      </w:r>
      <w:r w:rsidR="00784D17">
        <w:t xml:space="preserve"> </w:t>
      </w:r>
      <w:r w:rsidR="00593349">
        <w:t>a</w:t>
      </w:r>
      <w:r w:rsidR="00BD7E80">
        <w:t xml:space="preserve"> HBGV derived</w:t>
      </w:r>
      <w:r w:rsidR="00A84A42">
        <w:t xml:space="preserve"> based</w:t>
      </w:r>
      <w:r w:rsidR="00BD7E80">
        <w:t xml:space="preserve"> </w:t>
      </w:r>
      <w:r w:rsidR="00593349">
        <w:t>on male reproductive effect</w:t>
      </w:r>
      <w:r w:rsidR="00A84A42">
        <w:t>s</w:t>
      </w:r>
      <w:r w:rsidR="00593349">
        <w:t xml:space="preserve"> would </w:t>
      </w:r>
      <w:r w:rsidR="00BD76AE">
        <w:t xml:space="preserve">also </w:t>
      </w:r>
      <w:r w:rsidR="00BD7E80">
        <w:t>be protective</w:t>
      </w:r>
      <w:r w:rsidR="00BD76AE">
        <w:t xml:space="preserve"> for </w:t>
      </w:r>
      <w:r w:rsidR="00116376">
        <w:t xml:space="preserve">effects on the </w:t>
      </w:r>
      <w:r w:rsidR="00BD76AE">
        <w:t>female reproducti</w:t>
      </w:r>
      <w:r w:rsidR="00116376">
        <w:t>ve system</w:t>
      </w:r>
      <w:r w:rsidR="00C644FD">
        <w:t xml:space="preserve">. </w:t>
      </w:r>
    </w:p>
    <w:p w14:paraId="12E74A3A" w14:textId="77777777" w:rsidR="001370F0" w:rsidRDefault="001370F0" w:rsidP="001370F0">
      <w:pPr>
        <w:pStyle w:val="ListParagraph"/>
      </w:pPr>
    </w:p>
    <w:p w14:paraId="1CA0FF4F" w14:textId="4FE503F1" w:rsidR="004D1E3C" w:rsidRDefault="004D1E3C" w:rsidP="00EA01DF">
      <w:pPr>
        <w:pStyle w:val="ListParagraph"/>
        <w:numPr>
          <w:ilvl w:val="0"/>
          <w:numId w:val="46"/>
        </w:numPr>
        <w:spacing w:line="480" w:lineRule="auto"/>
        <w:ind w:left="0" w:hanging="11"/>
      </w:pPr>
      <w:r>
        <w:lastRenderedPageBreak/>
        <w:t>Weighing all available evidence</w:t>
      </w:r>
      <w:r w:rsidR="00E67AB5">
        <w:t>,</w:t>
      </w:r>
      <w:r>
        <w:t xml:space="preserve"> the COT</w:t>
      </w:r>
      <w:r w:rsidR="00E55F9C">
        <w:t xml:space="preserve"> agreed with the BfR’s assessment that the adverse effect of BPA on male </w:t>
      </w:r>
      <w:r w:rsidR="009C372F">
        <w:t xml:space="preserve">reproduction was the critical </w:t>
      </w:r>
      <w:r w:rsidR="0080581B">
        <w:t>endpoint</w:t>
      </w:r>
      <w:r w:rsidR="009C372F">
        <w:t xml:space="preserve"> and should be carried forward for the derivation of a </w:t>
      </w:r>
      <w:r w:rsidR="00DC1260">
        <w:t>HBGV</w:t>
      </w:r>
      <w:r w:rsidR="009C372F">
        <w:t>. Data published since the BfR’s assessment, while</w:t>
      </w:r>
      <w:r w:rsidR="00F958E1">
        <w:t xml:space="preserve"> </w:t>
      </w:r>
      <w:r w:rsidR="009C372F">
        <w:t>informative and adding to the overall database of BPA</w:t>
      </w:r>
      <w:r w:rsidR="00C92CA0">
        <w:t>,</w:t>
      </w:r>
      <w:r w:rsidR="009C372F">
        <w:t xml:space="preserve"> did not provide any information </w:t>
      </w:r>
      <w:r w:rsidR="00F958E1">
        <w:t>to change the COTs current view.</w:t>
      </w:r>
    </w:p>
    <w:p w14:paraId="556EA46C" w14:textId="79959680" w:rsidR="009C372F" w:rsidRDefault="00F671EA" w:rsidP="009C372F">
      <w:pPr>
        <w:pStyle w:val="ListParagraph"/>
      </w:pPr>
      <w:r>
        <w:t xml:space="preserve"> </w:t>
      </w:r>
      <w:r w:rsidR="004D2FB5">
        <w:t xml:space="preserve"> </w:t>
      </w:r>
    </w:p>
    <w:p w14:paraId="6BEF1A73" w14:textId="77777777" w:rsidR="005C1F61" w:rsidRDefault="005C1F61" w:rsidP="005C1F61">
      <w:pPr>
        <w:pStyle w:val="ListParagraph"/>
      </w:pPr>
    </w:p>
    <w:p w14:paraId="3188E612" w14:textId="0283A8C9" w:rsidR="005C1F61" w:rsidRPr="00ED33B0" w:rsidRDefault="005C1F61" w:rsidP="0004284E">
      <w:pPr>
        <w:pStyle w:val="Heading2"/>
      </w:pPr>
      <w:r w:rsidRPr="00ED33B0">
        <w:t>Other toxicological endpoints</w:t>
      </w:r>
    </w:p>
    <w:p w14:paraId="5E31AA35" w14:textId="77777777" w:rsidR="005C1F61" w:rsidRDefault="005C1F61" w:rsidP="005C1F61">
      <w:pPr>
        <w:pStyle w:val="ListParagraph"/>
      </w:pPr>
    </w:p>
    <w:p w14:paraId="241EF0F3" w14:textId="1FD52206" w:rsidR="008629D8" w:rsidRDefault="00E17C14" w:rsidP="008629D8">
      <w:pPr>
        <w:pStyle w:val="ListParagraph"/>
        <w:numPr>
          <w:ilvl w:val="0"/>
          <w:numId w:val="46"/>
        </w:numPr>
        <w:spacing w:line="480" w:lineRule="auto"/>
        <w:ind w:left="0" w:hanging="11"/>
      </w:pPr>
      <w:r>
        <w:t xml:space="preserve">In 2023, </w:t>
      </w:r>
      <w:r w:rsidR="000F1620">
        <w:t xml:space="preserve">EFSA </w:t>
      </w:r>
      <w:r w:rsidR="00E63275">
        <w:t xml:space="preserve">followed a predefined protocol to derive </w:t>
      </w:r>
      <w:r w:rsidR="000F1620">
        <w:t>available evidence</w:t>
      </w:r>
      <w:r w:rsidR="0036479A">
        <w:t xml:space="preserve"> since their 2015 evaluations</w:t>
      </w:r>
      <w:r w:rsidR="00A600DC">
        <w:t>;</w:t>
      </w:r>
      <w:r w:rsidR="00F379CF">
        <w:t xml:space="preserve"> this included the evaluation of some evidence </w:t>
      </w:r>
      <w:r w:rsidR="001F3599">
        <w:t xml:space="preserve">not considered in their </w:t>
      </w:r>
      <w:r w:rsidR="00C92CA0">
        <w:t xml:space="preserve">earlier </w:t>
      </w:r>
      <w:r w:rsidR="001F3599">
        <w:t>assessment</w:t>
      </w:r>
      <w:r w:rsidR="00C92CA0">
        <w:t xml:space="preserve"> (EFSA,</w:t>
      </w:r>
      <w:r w:rsidR="006E05D2">
        <w:t>2015)</w:t>
      </w:r>
      <w:r w:rsidR="0093268D">
        <w:t xml:space="preserve">. </w:t>
      </w:r>
      <w:r w:rsidR="008629D8">
        <w:t>In addition to immunotoxicity and reproductive toxicity</w:t>
      </w:r>
      <w:r w:rsidR="00A24A38">
        <w:t xml:space="preserve">, EFSA also considered </w:t>
      </w:r>
      <w:r w:rsidR="007B2DCF">
        <w:t xml:space="preserve">carcinogenicity, </w:t>
      </w:r>
      <w:r w:rsidR="00916A2C">
        <w:t>genotoxicity,</w:t>
      </w:r>
      <w:r w:rsidR="007B2DCF">
        <w:t xml:space="preserve"> </w:t>
      </w:r>
      <w:r w:rsidR="00A24A38">
        <w:t>hepato</w:t>
      </w:r>
      <w:r w:rsidR="00916A2C">
        <w:t>toxicity</w:t>
      </w:r>
      <w:r w:rsidR="00A24A38">
        <w:t xml:space="preserve"> and renal</w:t>
      </w:r>
      <w:r w:rsidR="00C63B91">
        <w:t xml:space="preserve"> </w:t>
      </w:r>
      <w:r w:rsidR="00A24A38">
        <w:t>tox</w:t>
      </w:r>
      <w:r w:rsidR="00C63B91">
        <w:t>i</w:t>
      </w:r>
      <w:r w:rsidR="00A24A38">
        <w:t xml:space="preserve">city, </w:t>
      </w:r>
      <w:r w:rsidR="00B80450">
        <w:t xml:space="preserve">cardiotoxicity, </w:t>
      </w:r>
      <w:r w:rsidR="00A0498D">
        <w:t>neurotoxicity</w:t>
      </w:r>
      <w:r w:rsidR="00F404C2">
        <w:t xml:space="preserve"> and developmental neurotoxicity</w:t>
      </w:r>
      <w:r w:rsidR="00A0498D">
        <w:t xml:space="preserve">, developmental and reproductive toxicity, </w:t>
      </w:r>
      <w:r w:rsidR="007205FC">
        <w:t xml:space="preserve">as well as effects on </w:t>
      </w:r>
      <w:r w:rsidR="00C63B91">
        <w:t>body weight</w:t>
      </w:r>
      <w:r w:rsidR="007205FC">
        <w:t>,</w:t>
      </w:r>
      <w:r w:rsidR="00F704E3">
        <w:t xml:space="preserve"> the</w:t>
      </w:r>
      <w:r w:rsidR="007205FC">
        <w:t xml:space="preserve"> lung, thyroid</w:t>
      </w:r>
      <w:r w:rsidR="00266AE4">
        <w:t>, parathyroid, pituitary</w:t>
      </w:r>
      <w:r w:rsidR="00D716BE">
        <w:t xml:space="preserve"> and adrenal glands,</w:t>
      </w:r>
      <w:r w:rsidR="006E26A2">
        <w:t xml:space="preserve"> the ma</w:t>
      </w:r>
      <w:r w:rsidR="007C39FD">
        <w:t>mmary gla</w:t>
      </w:r>
      <w:r w:rsidR="003317DA">
        <w:t>n</w:t>
      </w:r>
      <w:r w:rsidR="007C39FD">
        <w:t>d,</w:t>
      </w:r>
      <w:r w:rsidR="00D716BE">
        <w:t xml:space="preserve"> bone marrow, </w:t>
      </w:r>
      <w:r w:rsidR="00F704E3">
        <w:t xml:space="preserve">and haematological </w:t>
      </w:r>
      <w:r w:rsidR="00C31612">
        <w:t xml:space="preserve">and metabolic </w:t>
      </w:r>
      <w:r w:rsidR="00F704E3">
        <w:t>effects.</w:t>
      </w:r>
      <w:r w:rsidR="001465D8">
        <w:t xml:space="preserve">  </w:t>
      </w:r>
    </w:p>
    <w:p w14:paraId="7B434C08" w14:textId="77777777" w:rsidR="006C70D6" w:rsidRDefault="006C70D6" w:rsidP="006C70D6">
      <w:pPr>
        <w:pStyle w:val="ListParagraph"/>
        <w:spacing w:line="480" w:lineRule="auto"/>
        <w:ind w:left="0"/>
      </w:pPr>
    </w:p>
    <w:p w14:paraId="4FE83F9C" w14:textId="5564C75C" w:rsidR="006C70D6" w:rsidRDefault="005224FD" w:rsidP="00EC3328">
      <w:pPr>
        <w:pStyle w:val="ListParagraph"/>
        <w:numPr>
          <w:ilvl w:val="0"/>
          <w:numId w:val="46"/>
        </w:numPr>
        <w:spacing w:line="480" w:lineRule="auto"/>
        <w:ind w:left="0" w:hanging="11"/>
      </w:pPr>
      <w:r>
        <w:t xml:space="preserve">The BfR </w:t>
      </w:r>
      <w:r w:rsidR="00FD6836">
        <w:t>conducted</w:t>
      </w:r>
      <w:r w:rsidR="004D0C31">
        <w:t xml:space="preserve"> a </w:t>
      </w:r>
      <w:r w:rsidR="00507CE1">
        <w:t xml:space="preserve">targeted </w:t>
      </w:r>
      <w:r w:rsidR="004D0C31">
        <w:t>systematic literature review</w:t>
      </w:r>
      <w:r w:rsidR="00EB56BC">
        <w:t xml:space="preserve"> </w:t>
      </w:r>
      <w:r w:rsidR="003B0EEE">
        <w:t>retrieving evidence</w:t>
      </w:r>
      <w:r w:rsidR="00EB56BC">
        <w:t xml:space="preserve"> </w:t>
      </w:r>
      <w:r w:rsidR="003B0EEE">
        <w:t>from</w:t>
      </w:r>
      <w:r w:rsidR="00EB56BC">
        <w:t xml:space="preserve"> 2013</w:t>
      </w:r>
      <w:r w:rsidR="00681C95">
        <w:t>,</w:t>
      </w:r>
      <w:r w:rsidR="00EB56BC">
        <w:t xml:space="preserve"> </w:t>
      </w:r>
      <w:r w:rsidR="00112873">
        <w:t>using the 2015 EFSA opinion as a starting point</w:t>
      </w:r>
      <w:r w:rsidR="00F659CC">
        <w:t xml:space="preserve">, </w:t>
      </w:r>
      <w:r>
        <w:t>on</w:t>
      </w:r>
      <w:r w:rsidR="00613717">
        <w:t xml:space="preserve"> the</w:t>
      </w:r>
      <w:r>
        <w:t xml:space="preserve"> </w:t>
      </w:r>
      <w:r w:rsidR="002D65B9">
        <w:t xml:space="preserve">reproductive and </w:t>
      </w:r>
      <w:r w:rsidR="0013194A">
        <w:t xml:space="preserve">immunotoxic </w:t>
      </w:r>
      <w:r w:rsidR="002D65B9">
        <w:t>effects of BPA</w:t>
      </w:r>
      <w:r w:rsidR="00EB56BC">
        <w:t xml:space="preserve">. </w:t>
      </w:r>
      <w:r w:rsidR="00F5529C">
        <w:t>While t</w:t>
      </w:r>
      <w:r w:rsidR="00EB56BC">
        <w:t>he r</w:t>
      </w:r>
      <w:r w:rsidR="00681C95">
        <w:t xml:space="preserve">eview also </w:t>
      </w:r>
      <w:r w:rsidR="00C22099">
        <w:t xml:space="preserve">considered metabolic </w:t>
      </w:r>
      <w:r w:rsidR="00B10E59">
        <w:t>effects, the available studies on increased serum uric acid were not considered suitable for a quantitative hazard assessment</w:t>
      </w:r>
      <w:r w:rsidR="00EC3328">
        <w:t xml:space="preserve">. </w:t>
      </w:r>
      <w:r w:rsidR="008E3E09">
        <w:t xml:space="preserve">The BfR </w:t>
      </w:r>
      <w:r w:rsidR="00E36EEF">
        <w:t xml:space="preserve">however </w:t>
      </w:r>
      <w:r w:rsidR="008E3E09">
        <w:t xml:space="preserve">noted that there remained uncertainty over this endpoint and more data would be required. </w:t>
      </w:r>
      <w:r w:rsidR="00C67A89">
        <w:t>Other endpoints</w:t>
      </w:r>
      <w:r w:rsidR="00007100">
        <w:t>, e.g. effects on the liver o</w:t>
      </w:r>
      <w:r w:rsidR="00563AAC">
        <w:t>r</w:t>
      </w:r>
      <w:r w:rsidR="00007100">
        <w:t xml:space="preserve"> kidney</w:t>
      </w:r>
      <w:r w:rsidR="00EE3369">
        <w:t xml:space="preserve"> were not included </w:t>
      </w:r>
      <w:r w:rsidR="00E36EEF">
        <w:t xml:space="preserve">in the review </w:t>
      </w:r>
      <w:r w:rsidR="00EE3369">
        <w:t xml:space="preserve">as EFSA (2015; 2023) and </w:t>
      </w:r>
      <w:r w:rsidR="00890B15">
        <w:t>ECHA</w:t>
      </w:r>
      <w:r w:rsidR="00056478">
        <w:t xml:space="preserve"> (</w:t>
      </w:r>
      <w:r w:rsidR="00EE3369">
        <w:t xml:space="preserve">2014) </w:t>
      </w:r>
      <w:r w:rsidR="00613717">
        <w:t xml:space="preserve">had </w:t>
      </w:r>
      <w:r w:rsidR="00EE3369">
        <w:t xml:space="preserve">consistently reported the absence of adverse effects </w:t>
      </w:r>
      <w:r w:rsidR="00135F02">
        <w:t xml:space="preserve">in </w:t>
      </w:r>
      <w:r w:rsidR="00135F02">
        <w:lastRenderedPageBreak/>
        <w:t>the dose range of interest (</w:t>
      </w:r>
      <w:r w:rsidR="00135F02">
        <w:rPr>
          <w:rFonts w:cs="Arial"/>
        </w:rPr>
        <w:t>≤</w:t>
      </w:r>
      <w:r w:rsidR="00135F02">
        <w:t xml:space="preserve"> 4 </w:t>
      </w:r>
      <w:r w:rsidR="00135F02">
        <w:rPr>
          <w:rFonts w:cs="Arial"/>
        </w:rPr>
        <w:t>µ</w:t>
      </w:r>
      <w:r w:rsidR="00135F02">
        <w:t>g</w:t>
      </w:r>
      <w:r w:rsidR="008E3E09">
        <w:t>/kg bw per day for humans)</w:t>
      </w:r>
      <w:r w:rsidR="00846D2E">
        <w:t xml:space="preserve">. </w:t>
      </w:r>
      <w:r w:rsidR="007C5EAA">
        <w:t xml:space="preserve">The </w:t>
      </w:r>
      <w:r w:rsidR="00846D2E">
        <w:t>BfR agreed with th</w:t>
      </w:r>
      <w:r w:rsidR="00007100">
        <w:t>is</w:t>
      </w:r>
      <w:r w:rsidR="00846D2E">
        <w:t xml:space="preserve"> conclusion</w:t>
      </w:r>
      <w:r w:rsidR="007C5EAA">
        <w:t xml:space="preserve">, as well as EFSA’s conclusion that it is “unlikely to very unlikely” that BPA </w:t>
      </w:r>
      <w:r w:rsidR="009540B5">
        <w:t>present</w:t>
      </w:r>
      <w:r w:rsidR="005526B7">
        <w:t>ed</w:t>
      </w:r>
      <w:r w:rsidR="009540B5">
        <w:t xml:space="preserve"> a genotoxic hazard or demonstrated </w:t>
      </w:r>
      <w:r w:rsidR="00007100">
        <w:t>tumorigenic activity</w:t>
      </w:r>
      <w:r w:rsidR="008E3E09">
        <w:t xml:space="preserve">. </w:t>
      </w:r>
      <w:r w:rsidR="00A37963">
        <w:t>T</w:t>
      </w:r>
      <w:r w:rsidR="00AC31EC">
        <w:t>he BfR</w:t>
      </w:r>
      <w:r w:rsidR="00DA1B23">
        <w:t xml:space="preserve"> </w:t>
      </w:r>
      <w:r w:rsidR="0063706B">
        <w:t xml:space="preserve">did </w:t>
      </w:r>
      <w:r w:rsidR="00DA1B23">
        <w:t>however</w:t>
      </w:r>
      <w:r w:rsidR="00AC31EC">
        <w:t xml:space="preserve"> </w:t>
      </w:r>
      <w:r w:rsidR="00A37963">
        <w:t xml:space="preserve">include and </w:t>
      </w:r>
      <w:r w:rsidR="00AC31EC">
        <w:t xml:space="preserve">consider any new information </w:t>
      </w:r>
      <w:r w:rsidR="0063706B">
        <w:t>on</w:t>
      </w:r>
      <w:r w:rsidR="00AC31EC">
        <w:t xml:space="preserve"> the toxicokinetics of BPA</w:t>
      </w:r>
      <w:r w:rsidR="00A37963">
        <w:t xml:space="preserve">, due to their criticism of the </w:t>
      </w:r>
      <w:r w:rsidR="00773EB1">
        <w:t>factor EFSA used for the extrapolation from the critical dose in rodents to humans</w:t>
      </w:r>
      <w:r w:rsidR="00507CE1">
        <w:t>.</w:t>
      </w:r>
    </w:p>
    <w:p w14:paraId="5CD227BF" w14:textId="77777777" w:rsidR="007A29FE" w:rsidRDefault="007A29FE" w:rsidP="007A29FE">
      <w:pPr>
        <w:pStyle w:val="ListParagraph"/>
      </w:pPr>
    </w:p>
    <w:p w14:paraId="630ECD49" w14:textId="1E9184A0" w:rsidR="007C6458" w:rsidRDefault="00CF73CB" w:rsidP="008629D8">
      <w:pPr>
        <w:pStyle w:val="ListParagraph"/>
        <w:numPr>
          <w:ilvl w:val="0"/>
          <w:numId w:val="46"/>
        </w:numPr>
        <w:spacing w:line="480" w:lineRule="auto"/>
        <w:ind w:left="0" w:hanging="11"/>
      </w:pPr>
      <w:r>
        <w:t>The COT</w:t>
      </w:r>
      <w:r w:rsidR="00D14A8B">
        <w:t xml:space="preserve"> agreed with EFSA and the BfR that </w:t>
      </w:r>
      <w:r w:rsidR="0033699C">
        <w:t xml:space="preserve">BPA did not demonstrate genotoxic or carcinogenic potential and that </w:t>
      </w:r>
      <w:r w:rsidR="00A876F3">
        <w:t xml:space="preserve">adverse </w:t>
      </w:r>
      <w:r w:rsidR="00BC0257">
        <w:t>effects other than immunotoxicity or reproductive effects</w:t>
      </w:r>
      <w:r w:rsidR="00A876F3">
        <w:t xml:space="preserve"> occurred at higher concentrations and were therefore not of </w:t>
      </w:r>
      <w:r w:rsidR="00143820">
        <w:t xml:space="preserve">direct </w:t>
      </w:r>
      <w:r w:rsidR="00A876F3">
        <w:t xml:space="preserve">relevance. </w:t>
      </w:r>
      <w:r w:rsidR="00046DEE">
        <w:t>Therefore</w:t>
      </w:r>
      <w:r w:rsidR="00806EA6">
        <w:t>,</w:t>
      </w:r>
      <w:r w:rsidR="00046DEE">
        <w:t xml:space="preserve"> the</w:t>
      </w:r>
      <w:r w:rsidR="00A7289B">
        <w:t xml:space="preserve"> in</w:t>
      </w:r>
      <w:r w:rsidR="004750A8">
        <w:t>-</w:t>
      </w:r>
      <w:r w:rsidR="00A7289B">
        <w:t>house</w:t>
      </w:r>
      <w:r w:rsidR="00046DEE">
        <w:t xml:space="preserve"> literature search </w:t>
      </w:r>
      <w:r w:rsidR="00987943">
        <w:t xml:space="preserve">(non-systematic) </w:t>
      </w:r>
      <w:r w:rsidR="00046DEE">
        <w:t>conducted by the COT in 2024 focussed on any new publications on the potential immuno</w:t>
      </w:r>
      <w:r w:rsidR="00612A4C">
        <w:t xml:space="preserve">toxic or reproductive effects of BPA since the publication of the BfR assessment. </w:t>
      </w:r>
      <w:r w:rsidR="00806EA6">
        <w:t xml:space="preserve">However, </w:t>
      </w:r>
      <w:r w:rsidR="00303270">
        <w:t xml:space="preserve">for completeness a literature search for pathology/histopathology was </w:t>
      </w:r>
      <w:r w:rsidR="00A7289B">
        <w:t xml:space="preserve">also </w:t>
      </w:r>
      <w:r w:rsidR="00303270">
        <w:t>included.</w:t>
      </w:r>
      <w:r w:rsidR="00793A7F">
        <w:t xml:space="preserve"> </w:t>
      </w:r>
      <w:r w:rsidR="004641F4">
        <w:t xml:space="preserve">Although the search terms were quite narrow a number of papers were retrieved which covered BPA more </w:t>
      </w:r>
      <w:r w:rsidR="0006350A">
        <w:t xml:space="preserve">broadly or considered </w:t>
      </w:r>
      <w:r w:rsidR="00613717">
        <w:t xml:space="preserve">the </w:t>
      </w:r>
      <w:r w:rsidR="0006350A">
        <w:t xml:space="preserve">general toxicity of BPA. </w:t>
      </w:r>
      <w:r w:rsidR="00BC0257">
        <w:t xml:space="preserve"> </w:t>
      </w:r>
    </w:p>
    <w:p w14:paraId="49E65AF6" w14:textId="77777777" w:rsidR="007C6458" w:rsidRDefault="007C6458" w:rsidP="007C6458">
      <w:pPr>
        <w:pStyle w:val="ListParagraph"/>
      </w:pPr>
    </w:p>
    <w:p w14:paraId="75336932" w14:textId="73A67DE6" w:rsidR="00D010A8" w:rsidRDefault="00E20BB3" w:rsidP="005967C4">
      <w:pPr>
        <w:pStyle w:val="ListParagraph"/>
        <w:numPr>
          <w:ilvl w:val="0"/>
          <w:numId w:val="46"/>
        </w:numPr>
        <w:spacing w:line="480" w:lineRule="auto"/>
        <w:ind w:left="0" w:hanging="11"/>
      </w:pPr>
      <w:r>
        <w:t>Two of the papers retrieved</w:t>
      </w:r>
      <w:r w:rsidR="00257E98">
        <w:t xml:space="preserve"> </w:t>
      </w:r>
      <w:r w:rsidR="00D32E08">
        <w:t xml:space="preserve">did not include </w:t>
      </w:r>
      <w:r w:rsidR="00D010A8">
        <w:t xml:space="preserve">primary data. Prueitte and Goodmann (2024) was a critique of the EFSA assessment, </w:t>
      </w:r>
      <w:r w:rsidR="00B453E7">
        <w:t xml:space="preserve">and their use of an </w:t>
      </w:r>
      <w:r w:rsidR="005F53AE">
        <w:t>intermediate immunotoxicity endpoint, which ha</w:t>
      </w:r>
      <w:r w:rsidR="00613717">
        <w:t>d</w:t>
      </w:r>
      <w:r w:rsidR="005F53AE">
        <w:t xml:space="preserve"> not been observed in species </w:t>
      </w:r>
      <w:r w:rsidR="0080678B">
        <w:t>other than</w:t>
      </w:r>
      <w:r w:rsidR="005F53AE">
        <w:t xml:space="preserve"> mice</w:t>
      </w:r>
      <w:r w:rsidR="00F4462F">
        <w:t xml:space="preserve">. The authors concluded that </w:t>
      </w:r>
      <w:r w:rsidR="00263281">
        <w:t>EFSA</w:t>
      </w:r>
      <w:r w:rsidR="00171527">
        <w:t>’</w:t>
      </w:r>
      <w:r w:rsidR="00263281">
        <w:t xml:space="preserve">s new TDI </w:t>
      </w:r>
      <w:r w:rsidR="00FF66B6">
        <w:t>wa</w:t>
      </w:r>
      <w:r w:rsidR="00263281">
        <w:t xml:space="preserve">s not supported by the totality of the available database on BPA </w:t>
      </w:r>
      <w:r w:rsidR="00F73A79">
        <w:t>but indicate</w:t>
      </w:r>
      <w:r w:rsidR="002E629D">
        <w:t>d</w:t>
      </w:r>
      <w:r w:rsidR="00F73A79">
        <w:t xml:space="preserve"> that the t-TDI established </w:t>
      </w:r>
      <w:r w:rsidR="00D864E9">
        <w:t xml:space="preserve">by EFSA </w:t>
      </w:r>
      <w:r w:rsidR="00F73A79">
        <w:t xml:space="preserve">in 2015 would continue to be protective of human health. </w:t>
      </w:r>
      <w:r w:rsidR="008C412C">
        <w:t>Kortenkamp et al. (2022)</w:t>
      </w:r>
      <w:r w:rsidR="00DF7DF1">
        <w:t xml:space="preserve"> conducted a systematic review </w:t>
      </w:r>
      <w:r w:rsidR="0080678B">
        <w:t>of</w:t>
      </w:r>
      <w:r w:rsidR="00627D87">
        <w:t xml:space="preserve"> BPA exposure and decline in semen quality. </w:t>
      </w:r>
      <w:r w:rsidR="00657C7D">
        <w:t xml:space="preserve">The authors were critical of both the EFSA and BfR assessment, stating that </w:t>
      </w:r>
      <w:r w:rsidR="00657C7D">
        <w:lastRenderedPageBreak/>
        <w:t>ne</w:t>
      </w:r>
      <w:r w:rsidR="00957E4D">
        <w:t xml:space="preserve">ither authority assessed the evidence on reproductive effects </w:t>
      </w:r>
      <w:r w:rsidR="007C1E85">
        <w:t>accurately</w:t>
      </w:r>
      <w:r w:rsidR="00957E4D">
        <w:t xml:space="preserve">. </w:t>
      </w:r>
      <w:r w:rsidR="00FE3242">
        <w:t xml:space="preserve">The COT noted that the </w:t>
      </w:r>
      <w:r w:rsidR="00171527">
        <w:t>review by K</w:t>
      </w:r>
      <w:r w:rsidR="004F4121">
        <w:t xml:space="preserve">ortenkamp et al. (2022) </w:t>
      </w:r>
      <w:r w:rsidR="00FE3242">
        <w:t xml:space="preserve">focussed on </w:t>
      </w:r>
      <w:r w:rsidR="00591DF9">
        <w:t xml:space="preserve">reproductive endpoints only and did not include considerations on immunotoxicity or the wider potential effects of BPA. </w:t>
      </w:r>
      <w:r w:rsidR="00041A92">
        <w:t xml:space="preserve">The COT reviewed the information within the </w:t>
      </w:r>
      <w:r w:rsidR="00B30391">
        <w:t xml:space="preserve">paper and highlighted that </w:t>
      </w:r>
      <w:r w:rsidR="00591DF9">
        <w:t xml:space="preserve">the papers cited by Kortenkamp et al. (2022) </w:t>
      </w:r>
      <w:r w:rsidR="004A1312">
        <w:t xml:space="preserve">to underpin their interpretation of the evidence </w:t>
      </w:r>
      <w:r w:rsidR="002A16DE">
        <w:t xml:space="preserve">would have been </w:t>
      </w:r>
      <w:r w:rsidR="00591DF9">
        <w:t xml:space="preserve">available </w:t>
      </w:r>
      <w:r w:rsidR="002A16DE">
        <w:t>to EFSA and the BfR at the time</w:t>
      </w:r>
      <w:r w:rsidR="00EC21C8">
        <w:t xml:space="preserve">. </w:t>
      </w:r>
    </w:p>
    <w:p w14:paraId="5057914F" w14:textId="77777777" w:rsidR="00D010A8" w:rsidRDefault="00D010A8" w:rsidP="00D010A8">
      <w:pPr>
        <w:pStyle w:val="ListParagraph"/>
      </w:pPr>
    </w:p>
    <w:p w14:paraId="3B58D71D" w14:textId="0A1FF8E7" w:rsidR="00D010A8" w:rsidRDefault="004A1312" w:rsidP="005967C4">
      <w:pPr>
        <w:pStyle w:val="ListParagraph"/>
        <w:numPr>
          <w:ilvl w:val="0"/>
          <w:numId w:val="46"/>
        </w:numPr>
        <w:spacing w:line="480" w:lineRule="auto"/>
        <w:ind w:left="0" w:hanging="11"/>
      </w:pPr>
      <w:r>
        <w:t>T</w:t>
      </w:r>
      <w:r w:rsidR="003619EF">
        <w:t xml:space="preserve">he COT concluded that </w:t>
      </w:r>
      <w:r w:rsidR="00E74394">
        <w:t xml:space="preserve">the </w:t>
      </w:r>
      <w:r w:rsidR="00402CB9">
        <w:t xml:space="preserve">new </w:t>
      </w:r>
      <w:r w:rsidR="00E74394">
        <w:t xml:space="preserve">evidence on general toxicity, pathology/histopathology or </w:t>
      </w:r>
      <w:r w:rsidR="00F46012">
        <w:t xml:space="preserve">evidence </w:t>
      </w:r>
      <w:r w:rsidR="00365C32">
        <w:t xml:space="preserve">included in the reviews/critiques </w:t>
      </w:r>
      <w:r w:rsidR="00D70520">
        <w:t xml:space="preserve">highlighted </w:t>
      </w:r>
      <w:r w:rsidR="00365C32">
        <w:t>above</w:t>
      </w:r>
      <w:r w:rsidR="004B1DE3">
        <w:t xml:space="preserve"> was not sufficient</w:t>
      </w:r>
      <w:r w:rsidR="00D70520">
        <w:t xml:space="preserve"> </w:t>
      </w:r>
      <w:r w:rsidR="00BC2D20">
        <w:t>to alter</w:t>
      </w:r>
      <w:r w:rsidR="008953BB">
        <w:t xml:space="preserve"> the Committee</w:t>
      </w:r>
      <w:r w:rsidR="0065422C">
        <w:t>’</w:t>
      </w:r>
      <w:r w:rsidR="008953BB">
        <w:t xml:space="preserve">s current </w:t>
      </w:r>
      <w:r w:rsidR="00BC2D20">
        <w:t>alignment with the BfR</w:t>
      </w:r>
      <w:r w:rsidR="008953BB">
        <w:t xml:space="preserve">. </w:t>
      </w:r>
      <w:r w:rsidR="00365C32">
        <w:t xml:space="preserve"> </w:t>
      </w:r>
    </w:p>
    <w:p w14:paraId="5C877904" w14:textId="77777777" w:rsidR="0024458C" w:rsidRDefault="0024458C" w:rsidP="008C3DA1">
      <w:pPr>
        <w:pStyle w:val="ListParagraph"/>
        <w:spacing w:line="480" w:lineRule="auto"/>
        <w:ind w:left="0"/>
      </w:pPr>
    </w:p>
    <w:p w14:paraId="6D291FEE" w14:textId="77777777" w:rsidR="005A3B22" w:rsidRDefault="005A3B22" w:rsidP="005A3B22">
      <w:pPr>
        <w:pStyle w:val="ListParagraph"/>
      </w:pPr>
    </w:p>
    <w:p w14:paraId="18E39072" w14:textId="67033773" w:rsidR="005A3B22" w:rsidRPr="005A3B22" w:rsidRDefault="005A3B22" w:rsidP="0004284E">
      <w:pPr>
        <w:pStyle w:val="Heading2"/>
      </w:pPr>
      <w:r w:rsidRPr="005A3B22">
        <w:t>Considerations on the point of departure</w:t>
      </w:r>
    </w:p>
    <w:p w14:paraId="784C4EEC" w14:textId="77777777" w:rsidR="005A3B22" w:rsidRDefault="005A3B22" w:rsidP="005A3B22">
      <w:pPr>
        <w:pStyle w:val="ListParagraph"/>
      </w:pPr>
    </w:p>
    <w:p w14:paraId="562F5C37" w14:textId="15896504" w:rsidR="00CC5148" w:rsidRDefault="009D5783" w:rsidP="005A3B22">
      <w:pPr>
        <w:pStyle w:val="ListParagraph"/>
        <w:numPr>
          <w:ilvl w:val="0"/>
          <w:numId w:val="46"/>
        </w:numPr>
        <w:spacing w:line="480" w:lineRule="auto"/>
        <w:ind w:left="0" w:hanging="11"/>
      </w:pPr>
      <w:r>
        <w:t>EFSA (2023) derived a BMDL</w:t>
      </w:r>
      <w:r w:rsidR="000E602A">
        <w:rPr>
          <w:vertAlign w:val="subscript"/>
        </w:rPr>
        <w:t>4</w:t>
      </w:r>
      <w:r w:rsidRPr="00610D55">
        <w:rPr>
          <w:vertAlign w:val="subscript"/>
        </w:rPr>
        <w:t>0</w:t>
      </w:r>
      <w:r>
        <w:t xml:space="preserve"> of 0.53 </w:t>
      </w:r>
      <w:r w:rsidRPr="00B31FA5">
        <w:t>µg/kg bw</w:t>
      </w:r>
      <w:r>
        <w:t xml:space="preserve"> per </w:t>
      </w:r>
      <w:r w:rsidRPr="00B31FA5">
        <w:t>day</w:t>
      </w:r>
      <w:r>
        <w:t xml:space="preserve"> b</w:t>
      </w:r>
      <w:r w:rsidR="007D138C">
        <w:t xml:space="preserve">ased on the study by </w:t>
      </w:r>
      <w:r w:rsidR="00CC5148">
        <w:t>Luo et al. (2016)</w:t>
      </w:r>
      <w:r w:rsidR="007D138C">
        <w:t xml:space="preserve">, which </w:t>
      </w:r>
      <w:r w:rsidR="00F93A31">
        <w:t>exposed pregnant mice to BPA concentrations equivalent to 0.</w:t>
      </w:r>
      <w:r w:rsidR="00801BC7">
        <w:t xml:space="preserve">475, 4.75 and 47.5 </w:t>
      </w:r>
      <w:r w:rsidR="00801BC7" w:rsidRPr="00801BC7">
        <w:t>µg/kg bw/day</w:t>
      </w:r>
      <w:r w:rsidR="00260437">
        <w:t>,</w:t>
      </w:r>
      <w:r w:rsidR="007D138C">
        <w:t xml:space="preserve"> </w:t>
      </w:r>
      <w:r w:rsidR="00CD5B17">
        <w:t>as a POD</w:t>
      </w:r>
      <w:r w:rsidR="00B948A2">
        <w:t xml:space="preserve"> </w:t>
      </w:r>
      <w:r w:rsidR="00610D55">
        <w:t>for t</w:t>
      </w:r>
      <w:r w:rsidR="00B948A2">
        <w:t>heir derivation of a HBGV</w:t>
      </w:r>
      <w:r w:rsidR="008B7211">
        <w:t>.</w:t>
      </w:r>
      <w:r w:rsidR="003B3747">
        <w:t xml:space="preserve"> The BfR </w:t>
      </w:r>
      <w:r w:rsidR="00D45462">
        <w:t xml:space="preserve">(2023) </w:t>
      </w:r>
      <w:r w:rsidR="003B3747">
        <w:t xml:space="preserve">derived </w:t>
      </w:r>
      <w:r w:rsidR="00297D59">
        <w:t>a BMDL</w:t>
      </w:r>
      <w:r w:rsidR="00297D59" w:rsidRPr="00A036E8">
        <w:rPr>
          <w:vertAlign w:val="subscript"/>
        </w:rPr>
        <w:t>10</w:t>
      </w:r>
      <w:r w:rsidR="00297D59">
        <w:t xml:space="preserve"> of 26 </w:t>
      </w:r>
      <w:r w:rsidR="00297D59" w:rsidRPr="00297D59">
        <w:t>µg/kg bw</w:t>
      </w:r>
      <w:r w:rsidR="00A036E8">
        <w:t xml:space="preserve"> per </w:t>
      </w:r>
      <w:r w:rsidR="00297D59" w:rsidRPr="00297D59">
        <w:t>day</w:t>
      </w:r>
      <w:r w:rsidR="00297D59">
        <w:t xml:space="preserve"> based on a dose range of </w:t>
      </w:r>
      <w:r w:rsidR="00FB4A2E">
        <w:t>2</w:t>
      </w:r>
      <w:r w:rsidR="00481B85">
        <w:t>-</w:t>
      </w:r>
      <w:r w:rsidR="00FB4A2E">
        <w:t xml:space="preserve"> 200 </w:t>
      </w:r>
      <w:r w:rsidR="00FB4A2E" w:rsidRPr="00FB4A2E">
        <w:t>µg/kg bw</w:t>
      </w:r>
      <w:r w:rsidR="00A036E8">
        <w:t xml:space="preserve"> per </w:t>
      </w:r>
      <w:r w:rsidR="00FB4A2E" w:rsidRPr="00FB4A2E">
        <w:t>day</w:t>
      </w:r>
      <w:r w:rsidR="00FB4A2E">
        <w:t xml:space="preserve"> (Liu et al., </w:t>
      </w:r>
      <w:r w:rsidR="00481B85">
        <w:t xml:space="preserve">2013) and a NOAEL of 50 </w:t>
      </w:r>
      <w:r w:rsidR="00481B85" w:rsidRPr="00481B85">
        <w:t>µg/kg bw</w:t>
      </w:r>
      <w:r w:rsidR="00A036E8">
        <w:t xml:space="preserve"> per </w:t>
      </w:r>
      <w:r w:rsidR="00481B85" w:rsidRPr="00481B85">
        <w:t>day</w:t>
      </w:r>
      <w:r w:rsidR="00481B85">
        <w:t xml:space="preserve"> based on a dose range of </w:t>
      </w:r>
      <w:r w:rsidR="005E62A4">
        <w:t xml:space="preserve">50-1000 </w:t>
      </w:r>
      <w:r w:rsidR="005E62A4" w:rsidRPr="005E62A4">
        <w:t>µg/kg bw</w:t>
      </w:r>
      <w:r w:rsidR="00A036E8">
        <w:t xml:space="preserve"> per </w:t>
      </w:r>
      <w:r w:rsidR="005E62A4" w:rsidRPr="005E62A4">
        <w:t>day</w:t>
      </w:r>
      <w:r w:rsidR="00CD5B17">
        <w:t xml:space="preserve"> as their POD</w:t>
      </w:r>
      <w:r w:rsidR="005E62A4">
        <w:t>.</w:t>
      </w:r>
    </w:p>
    <w:p w14:paraId="4D08F934" w14:textId="77777777" w:rsidR="00D26052" w:rsidRDefault="00D26052" w:rsidP="00D26052">
      <w:pPr>
        <w:pStyle w:val="ListParagraph"/>
        <w:spacing w:line="480" w:lineRule="auto"/>
        <w:ind w:left="0"/>
      </w:pPr>
    </w:p>
    <w:p w14:paraId="3748A0C4" w14:textId="0E6F0A07" w:rsidR="005A3B22" w:rsidRDefault="00383B83" w:rsidP="00744BDE">
      <w:pPr>
        <w:pStyle w:val="ListParagraph"/>
        <w:numPr>
          <w:ilvl w:val="0"/>
          <w:numId w:val="46"/>
        </w:numPr>
        <w:spacing w:line="480" w:lineRule="auto"/>
        <w:ind w:left="0" w:hanging="11"/>
      </w:pPr>
      <w:r>
        <w:t>Apart from</w:t>
      </w:r>
      <w:r w:rsidR="008A6024">
        <w:t xml:space="preserve"> </w:t>
      </w:r>
      <w:r w:rsidR="00207291">
        <w:t xml:space="preserve">the </w:t>
      </w:r>
      <w:r w:rsidR="008A6024">
        <w:t>studies by Molangiri et al. (2022) and Darmani and Alk</w:t>
      </w:r>
      <w:r w:rsidR="00F03990">
        <w:t>hatib (2024) the dose ranges</w:t>
      </w:r>
      <w:r w:rsidR="005B51BE">
        <w:t xml:space="preserve"> or PODs </w:t>
      </w:r>
      <w:r w:rsidR="00F03990">
        <w:t>in</w:t>
      </w:r>
      <w:r w:rsidR="005A6533">
        <w:t xml:space="preserve"> </w:t>
      </w:r>
      <w:r w:rsidR="00601355">
        <w:t xml:space="preserve">the </w:t>
      </w:r>
      <w:r>
        <w:t xml:space="preserve">studies </w:t>
      </w:r>
      <w:r w:rsidR="005B51BE">
        <w:t xml:space="preserve">identified in </w:t>
      </w:r>
      <w:r>
        <w:t xml:space="preserve">the </w:t>
      </w:r>
      <w:r w:rsidR="005A6533">
        <w:t>recent literature search were orders of magnitude higher than the PODs used by EFSA and the BfR.</w:t>
      </w:r>
      <w:r w:rsidR="00662FA4">
        <w:t xml:space="preserve"> </w:t>
      </w:r>
      <w:r w:rsidR="005E32BB">
        <w:t xml:space="preserve">Molangiri et al. (2022) exposed rats to a concentration of BPA of 0.4 </w:t>
      </w:r>
      <w:r w:rsidR="005E32BB" w:rsidRPr="005E32BB">
        <w:t>µg/kg bw</w:t>
      </w:r>
      <w:r w:rsidR="00F66112">
        <w:t xml:space="preserve"> per </w:t>
      </w:r>
      <w:r w:rsidR="005E32BB" w:rsidRPr="005E32BB">
        <w:lastRenderedPageBreak/>
        <w:t>day</w:t>
      </w:r>
      <w:r w:rsidR="00C879B4">
        <w:t xml:space="preserve">, which </w:t>
      </w:r>
      <w:r w:rsidR="00F66112">
        <w:t>wa</w:t>
      </w:r>
      <w:r w:rsidR="00C879B4">
        <w:t xml:space="preserve">s </w:t>
      </w:r>
      <w:r w:rsidR="00773414">
        <w:t>lower than the BMDL derived by EFSA</w:t>
      </w:r>
      <w:r w:rsidR="00BD722A">
        <w:t>, albeit not by much,</w:t>
      </w:r>
      <w:r w:rsidR="00773414">
        <w:t xml:space="preserve"> </w:t>
      </w:r>
      <w:r w:rsidR="00601355">
        <w:t>but</w:t>
      </w:r>
      <w:r w:rsidR="00773414">
        <w:t xml:space="preserve"> </w:t>
      </w:r>
      <w:r w:rsidR="00C879B4">
        <w:t>approximately 100-fold lower than the</w:t>
      </w:r>
      <w:r w:rsidR="00386712">
        <w:t xml:space="preserve"> POD applied by the BfR.</w:t>
      </w:r>
      <w:r w:rsidR="009F3681">
        <w:t xml:space="preserve"> The authors reported </w:t>
      </w:r>
      <w:r w:rsidR="009F3681" w:rsidRPr="009F3681">
        <w:t xml:space="preserve">significant effects such </w:t>
      </w:r>
      <w:r w:rsidR="00384CCC">
        <w:t xml:space="preserve">as </w:t>
      </w:r>
      <w:r w:rsidR="009F3681" w:rsidRPr="009F3681">
        <w:t>a</w:t>
      </w:r>
      <w:r w:rsidR="00C15A39">
        <w:t>n</w:t>
      </w:r>
      <w:r w:rsidR="009F3681" w:rsidRPr="009F3681">
        <w:t xml:space="preserve"> increase</w:t>
      </w:r>
      <w:r w:rsidR="0065422C">
        <w:t>d</w:t>
      </w:r>
      <w:r w:rsidR="009F3681" w:rsidRPr="009F3681">
        <w:t xml:space="preserve"> </w:t>
      </w:r>
      <w:r w:rsidR="00C15A39">
        <w:t xml:space="preserve">weight </w:t>
      </w:r>
      <w:r w:rsidR="009F3681" w:rsidRPr="009F3681">
        <w:t xml:space="preserve">in offspring, </w:t>
      </w:r>
      <w:r w:rsidR="00C15A39">
        <w:t xml:space="preserve">a </w:t>
      </w:r>
      <w:r w:rsidR="009F3681" w:rsidRPr="009F3681">
        <w:t>significant reduction in the expression of estrogen-related receptor gamma (ERR</w:t>
      </w:r>
      <w:r w:rsidR="00971326" w:rsidRPr="00C6239D">
        <w:rPr>
          <w:rFonts w:cs="Arial"/>
        </w:rPr>
        <w:t>ɣ</w:t>
      </w:r>
      <w:r w:rsidR="009F3681" w:rsidRPr="009F3681">
        <w:t xml:space="preserve">) and changes in gene expression. </w:t>
      </w:r>
      <w:r w:rsidR="00C15A39">
        <w:t>T</w:t>
      </w:r>
      <w:r w:rsidR="009F3681" w:rsidRPr="009F3681">
        <w:t>esticular morphology show</w:t>
      </w:r>
      <w:r w:rsidR="00C15A39">
        <w:t>e</w:t>
      </w:r>
      <w:r w:rsidR="006334FA">
        <w:t>d</w:t>
      </w:r>
      <w:r w:rsidR="009F3681" w:rsidRPr="009F3681">
        <w:t xml:space="preserve"> changes such as disoriented arrangement of</w:t>
      </w:r>
      <w:r w:rsidR="00C15A39">
        <w:t xml:space="preserve"> seminiferous tubules, </w:t>
      </w:r>
      <w:r w:rsidR="009F3681" w:rsidRPr="009F3681">
        <w:t>irregular-shaped Leydig cells, and a smaller number of mature sperms</w:t>
      </w:r>
      <w:r w:rsidR="00C15A39">
        <w:t xml:space="preserve"> in lumen</w:t>
      </w:r>
      <w:r w:rsidR="006334FA">
        <w:t>s.</w:t>
      </w:r>
      <w:r w:rsidR="00D56C26">
        <w:t xml:space="preserve"> </w:t>
      </w:r>
      <w:r w:rsidR="00196BC6">
        <w:t xml:space="preserve">Darmani and Alkhatib (2024) reported changes to serum hormone levels at a </w:t>
      </w:r>
      <w:r w:rsidR="007231C1">
        <w:t>concentration</w:t>
      </w:r>
      <w:r w:rsidR="00196BC6">
        <w:t xml:space="preserve"> of </w:t>
      </w:r>
      <w:r w:rsidR="007231C1">
        <w:t xml:space="preserve">10 </w:t>
      </w:r>
      <w:r w:rsidR="007231C1" w:rsidRPr="005E62A4">
        <w:t>µg/kg bw</w:t>
      </w:r>
      <w:r w:rsidR="00D42A41">
        <w:t xml:space="preserve"> per </w:t>
      </w:r>
      <w:r w:rsidR="007231C1" w:rsidRPr="005E62A4">
        <w:t>day</w:t>
      </w:r>
      <w:r w:rsidR="006E087A">
        <w:t xml:space="preserve"> after exposure to BPA</w:t>
      </w:r>
      <w:r w:rsidR="00067803">
        <w:t xml:space="preserve"> dimethacrylate (DMA)</w:t>
      </w:r>
      <w:r w:rsidR="007231C1">
        <w:t>.</w:t>
      </w:r>
      <w:r w:rsidR="003E0F68">
        <w:t xml:space="preserve"> </w:t>
      </w:r>
      <w:r w:rsidR="00213573">
        <w:t>T</w:t>
      </w:r>
      <w:r w:rsidR="003E0F68">
        <w:t xml:space="preserve">his is approximately a quarter of the NOAEL established by the BfR </w:t>
      </w:r>
      <w:r w:rsidR="00F50A0D">
        <w:t xml:space="preserve">for BPA </w:t>
      </w:r>
      <w:r w:rsidR="00213573">
        <w:t xml:space="preserve">but </w:t>
      </w:r>
      <w:r w:rsidR="003E0F68">
        <w:t xml:space="preserve">still 20-fold higher than the POD applied by EFSA. </w:t>
      </w:r>
    </w:p>
    <w:p w14:paraId="22EA32F5" w14:textId="77777777" w:rsidR="003E0F68" w:rsidRDefault="003E0F68" w:rsidP="003E0F68">
      <w:pPr>
        <w:pStyle w:val="ListParagraph"/>
      </w:pPr>
    </w:p>
    <w:p w14:paraId="0DA05DE0" w14:textId="77777777" w:rsidR="00C52C1E" w:rsidRDefault="00E71410" w:rsidP="000D1E51">
      <w:pPr>
        <w:pStyle w:val="ListParagraph"/>
        <w:numPr>
          <w:ilvl w:val="0"/>
          <w:numId w:val="46"/>
        </w:numPr>
        <w:spacing w:line="480" w:lineRule="auto"/>
        <w:ind w:left="0" w:hanging="11"/>
      </w:pPr>
      <w:r w:rsidRPr="00DE152F">
        <w:t>Although</w:t>
      </w:r>
      <w:r w:rsidR="009935CF" w:rsidRPr="00DE152F">
        <w:t xml:space="preserve"> t</w:t>
      </w:r>
      <w:r w:rsidR="0084699E" w:rsidRPr="00DE152F">
        <w:t xml:space="preserve">he </w:t>
      </w:r>
      <w:r w:rsidR="00BD77DA" w:rsidRPr="00DE152F">
        <w:t xml:space="preserve">effects reported in the </w:t>
      </w:r>
      <w:r w:rsidR="0084699E" w:rsidRPr="00DE152F">
        <w:t>study by Darmani and Alkhatib (2024)</w:t>
      </w:r>
      <w:r w:rsidR="00BD77DA" w:rsidRPr="00DE152F">
        <w:t xml:space="preserve"> were </w:t>
      </w:r>
      <w:r w:rsidR="00F97F36" w:rsidRPr="00DE152F">
        <w:t xml:space="preserve">at </w:t>
      </w:r>
      <w:r w:rsidR="00FE22A7">
        <w:t xml:space="preserve">a </w:t>
      </w:r>
      <w:r w:rsidR="00F97F36" w:rsidRPr="00DE152F">
        <w:t>concentration lower than the POD</w:t>
      </w:r>
      <w:r w:rsidR="00E43ACA" w:rsidRPr="00DE152F">
        <w:t xml:space="preserve"> established by the BfR, they were </w:t>
      </w:r>
      <w:r w:rsidR="00BD77DA" w:rsidRPr="00DE152F">
        <w:t>based on BPA-DMA, rather than BPA itself</w:t>
      </w:r>
      <w:r w:rsidR="00F12BB5" w:rsidRPr="00DE152F">
        <w:t xml:space="preserve">. Hence, while these provide an indication of adverse effects, it is not clear whether the effects seen with BPA-DMA are consistent with effects of BPA seen at the same concentration. </w:t>
      </w:r>
      <w:r w:rsidR="000A075A" w:rsidRPr="00DE152F">
        <w:t>T</w:t>
      </w:r>
      <w:r w:rsidR="00E43ACA" w:rsidRPr="00DE152F">
        <w:t xml:space="preserve">he effect dose was still higher than the POD applied by EFSA. </w:t>
      </w:r>
      <w:r w:rsidR="008433DC" w:rsidRPr="00DE152F">
        <w:t xml:space="preserve"> </w:t>
      </w:r>
      <w:r w:rsidR="00313853" w:rsidRPr="00DE152F">
        <w:t>While r</w:t>
      </w:r>
      <w:r w:rsidR="00EE1A6E" w:rsidRPr="00DE152F">
        <w:t xml:space="preserve">esults by Molangiri et al. (2022) were in line with previous </w:t>
      </w:r>
      <w:r w:rsidR="004B1182" w:rsidRPr="00DE152F">
        <w:t xml:space="preserve">studies, demonstrating adverse effects on male offspring after </w:t>
      </w:r>
      <w:r w:rsidR="004B1182" w:rsidRPr="00DE152F">
        <w:rPr>
          <w:i/>
          <w:iCs/>
        </w:rPr>
        <w:t>in utero</w:t>
      </w:r>
      <w:r w:rsidR="004B1182" w:rsidRPr="00DE152F">
        <w:t xml:space="preserve"> exposure</w:t>
      </w:r>
      <w:r w:rsidR="00313853" w:rsidRPr="00DE152F">
        <w:t xml:space="preserve">, </w:t>
      </w:r>
      <w:r w:rsidR="000D1E51" w:rsidRPr="00DE152F">
        <w:t xml:space="preserve">albeit at lower levels, </w:t>
      </w:r>
      <w:r w:rsidR="00313853" w:rsidRPr="00DE152F">
        <w:t>the focus</w:t>
      </w:r>
      <w:r w:rsidR="00D373D0" w:rsidRPr="00DE152F">
        <w:t xml:space="preserve"> of the study was predominantly on BPS.</w:t>
      </w:r>
      <w:r w:rsidR="000D1E51" w:rsidRPr="00DE152F">
        <w:t xml:space="preserve"> </w:t>
      </w:r>
      <w:r w:rsidR="00C52C1E">
        <w:t>Additional</w:t>
      </w:r>
      <w:r w:rsidR="00F94377" w:rsidRPr="00DE152F">
        <w:t xml:space="preserve"> data would be required to fully establish whether </w:t>
      </w:r>
      <w:r w:rsidR="00E661E2" w:rsidRPr="00DE152F">
        <w:t>the reported effects could be consistently seen at the</w:t>
      </w:r>
      <w:r w:rsidR="00C52C1E">
        <w:t xml:space="preserve"> reported dose</w:t>
      </w:r>
      <w:r w:rsidR="00E661E2" w:rsidRPr="00DE152F">
        <w:t xml:space="preserve"> levels. </w:t>
      </w:r>
    </w:p>
    <w:p w14:paraId="5C3E0FDF" w14:textId="77777777" w:rsidR="00C52C1E" w:rsidRDefault="00C52C1E" w:rsidP="00C52C1E">
      <w:pPr>
        <w:pStyle w:val="ListParagraph"/>
      </w:pPr>
    </w:p>
    <w:p w14:paraId="2EC02909" w14:textId="6081A267" w:rsidR="009820E0" w:rsidRDefault="009820E0" w:rsidP="000D1E51">
      <w:pPr>
        <w:pStyle w:val="ListParagraph"/>
        <w:numPr>
          <w:ilvl w:val="0"/>
          <w:numId w:val="46"/>
        </w:numPr>
        <w:spacing w:line="480" w:lineRule="auto"/>
        <w:ind w:left="0" w:hanging="11"/>
      </w:pPr>
      <w:r w:rsidRPr="00DE152F">
        <w:t xml:space="preserve">While both studies contributed to the overall knowledgebase, the COT did not consider the evidence sufficient </w:t>
      </w:r>
      <w:r w:rsidR="00E25CD4" w:rsidRPr="00DE152F">
        <w:t>to reconsider their current alignment with the BfR</w:t>
      </w:r>
      <w:r w:rsidR="00FB6D38">
        <w:t xml:space="preserve"> </w:t>
      </w:r>
      <w:r w:rsidR="00A849A6">
        <w:t>or</w:t>
      </w:r>
      <w:r w:rsidR="004B260F" w:rsidRPr="00DE152F">
        <w:t xml:space="preserve"> that</w:t>
      </w:r>
      <w:r w:rsidR="00E25CD4" w:rsidRPr="00DE152F">
        <w:t xml:space="preserve"> the </w:t>
      </w:r>
      <w:r w:rsidR="002E024B" w:rsidRPr="00DE152F">
        <w:t xml:space="preserve">TDI </w:t>
      </w:r>
      <w:r w:rsidR="004B260F" w:rsidRPr="00DE152F">
        <w:t>would</w:t>
      </w:r>
      <w:r w:rsidR="00A849A6">
        <w:t xml:space="preserve"> not be </w:t>
      </w:r>
      <w:r w:rsidR="00355617">
        <w:t>sufficiently</w:t>
      </w:r>
      <w:r w:rsidR="008D306D" w:rsidRPr="00DE152F">
        <w:t xml:space="preserve"> protective of adverse effects of BPA.</w:t>
      </w:r>
    </w:p>
    <w:p w14:paraId="5468739F" w14:textId="77777777" w:rsidR="003E21A2" w:rsidRPr="00DE152F" w:rsidRDefault="003E21A2" w:rsidP="003E21A2">
      <w:pPr>
        <w:pStyle w:val="ListParagraph"/>
        <w:spacing w:line="480" w:lineRule="auto"/>
        <w:ind w:left="0"/>
      </w:pPr>
    </w:p>
    <w:p w14:paraId="1CF309E0" w14:textId="77777777" w:rsidR="009820E0" w:rsidRPr="009820E0" w:rsidRDefault="009820E0" w:rsidP="009820E0">
      <w:pPr>
        <w:pStyle w:val="ListParagraph"/>
        <w:rPr>
          <w:highlight w:val="yellow"/>
        </w:rPr>
      </w:pPr>
    </w:p>
    <w:p w14:paraId="2C092490" w14:textId="55C0B8AC" w:rsidR="004E0D9B" w:rsidRDefault="00874AA3" w:rsidP="0004284E">
      <w:pPr>
        <w:pStyle w:val="Heading2"/>
      </w:pPr>
      <w:r w:rsidRPr="00ED33B0">
        <w:t>Derivation of the TDI</w:t>
      </w:r>
    </w:p>
    <w:p w14:paraId="095846DB" w14:textId="77777777" w:rsidR="0004284E" w:rsidRPr="0004284E" w:rsidRDefault="0004284E" w:rsidP="0004284E"/>
    <w:p w14:paraId="212CC16F" w14:textId="59D92626" w:rsidR="00CD3F47" w:rsidRDefault="00974D02" w:rsidP="00B31B67">
      <w:pPr>
        <w:pStyle w:val="ListParagraph"/>
        <w:numPr>
          <w:ilvl w:val="0"/>
          <w:numId w:val="46"/>
        </w:numPr>
        <w:spacing w:line="480" w:lineRule="auto"/>
        <w:ind w:left="0" w:hanging="11"/>
      </w:pPr>
      <w:r>
        <w:t xml:space="preserve">Both EFSA and the BfR acknowledged that the interpretation of the available </w:t>
      </w:r>
      <w:r w:rsidR="007B75BF">
        <w:t>evidence</w:t>
      </w:r>
      <w:r>
        <w:t xml:space="preserve"> and </w:t>
      </w:r>
      <w:r w:rsidR="0030374D">
        <w:t>divergence in the</w:t>
      </w:r>
      <w:r w:rsidR="007B75BF">
        <w:t xml:space="preserve"> </w:t>
      </w:r>
      <w:r>
        <w:t xml:space="preserve">risk assessment </w:t>
      </w:r>
      <w:r w:rsidR="00581C79">
        <w:t>we</w:t>
      </w:r>
      <w:r>
        <w:t xml:space="preserve">re linked to the tools and methodologies applied. The key points of divergence were the adverse effect definition, the inclusion/exclusion of scientific information, the use of an apical versus intermediate endpoint, uncertainty analysis and HEDF. </w:t>
      </w:r>
    </w:p>
    <w:p w14:paraId="42210B1F" w14:textId="77777777" w:rsidR="00D57FA5" w:rsidRDefault="00D57FA5" w:rsidP="00D57FA5">
      <w:pPr>
        <w:pStyle w:val="ListParagraph"/>
      </w:pPr>
    </w:p>
    <w:p w14:paraId="642346C3" w14:textId="11874D62" w:rsidR="00596CAE" w:rsidRDefault="00E93B56" w:rsidP="002B777F">
      <w:pPr>
        <w:pStyle w:val="ListParagraph"/>
        <w:numPr>
          <w:ilvl w:val="0"/>
          <w:numId w:val="46"/>
        </w:numPr>
        <w:spacing w:line="480" w:lineRule="auto"/>
        <w:ind w:left="0" w:hanging="11"/>
      </w:pPr>
      <w:r>
        <w:t>T</w:t>
      </w:r>
      <w:r w:rsidR="00D57FA5">
        <w:t xml:space="preserve">o derive the POD for the derivation of the </w:t>
      </w:r>
      <w:r w:rsidR="00124277">
        <w:t>HBGV</w:t>
      </w:r>
      <w:r>
        <w:t xml:space="preserve"> the BfR undertook BMD modelling on all relevant studies. While </w:t>
      </w:r>
      <w:r w:rsidR="00A54C73">
        <w:t xml:space="preserve">the </w:t>
      </w:r>
      <w:r>
        <w:t xml:space="preserve">effects on male reproduction </w:t>
      </w:r>
      <w:r w:rsidR="00A54C73">
        <w:t xml:space="preserve">were considered </w:t>
      </w:r>
      <w:r>
        <w:t xml:space="preserve">the critical endpoint, immunotoxicological </w:t>
      </w:r>
      <w:r w:rsidRPr="00E43E94">
        <w:t xml:space="preserve">studies were </w:t>
      </w:r>
      <w:r w:rsidR="00A54C73">
        <w:t xml:space="preserve">also </w:t>
      </w:r>
      <w:r w:rsidRPr="00E43E94">
        <w:t xml:space="preserve">submitted to BMD modelling </w:t>
      </w:r>
      <w:r w:rsidR="002D329F" w:rsidRPr="00E43E94">
        <w:t>to</w:t>
      </w:r>
      <w:r w:rsidRPr="00E43E94">
        <w:t xml:space="preserve"> evaluat</w:t>
      </w:r>
      <w:r w:rsidR="0033376D">
        <w:t>e</w:t>
      </w:r>
      <w:r w:rsidRPr="00E43E94">
        <w:t xml:space="preserve"> to which extent the </w:t>
      </w:r>
      <w:r w:rsidR="00A54C73">
        <w:t>HBGV</w:t>
      </w:r>
      <w:r w:rsidRPr="00E43E94">
        <w:t xml:space="preserve"> would also be protective for immunological effects</w:t>
      </w:r>
      <w:r>
        <w:t xml:space="preserve">. </w:t>
      </w:r>
      <w:r w:rsidR="009116E8">
        <w:t xml:space="preserve">Weighing all evidence, </w:t>
      </w:r>
      <w:r w:rsidR="00D23E8D">
        <w:t xml:space="preserve">the BfR </w:t>
      </w:r>
      <w:r w:rsidR="00FD4358">
        <w:t xml:space="preserve">based their derivation of </w:t>
      </w:r>
      <w:r w:rsidR="009116E8">
        <w:t>the TDI</w:t>
      </w:r>
      <w:r w:rsidR="00FD4358">
        <w:t xml:space="preserve"> on the effect dose for reduced sperm count in two </w:t>
      </w:r>
      <w:r w:rsidR="00231B9C">
        <w:t xml:space="preserve">sub-chronic </w:t>
      </w:r>
      <w:r w:rsidR="00FD4358">
        <w:t xml:space="preserve">studies </w:t>
      </w:r>
      <w:r w:rsidR="00231B9C">
        <w:t>in</w:t>
      </w:r>
      <w:r w:rsidR="00FD4358">
        <w:t xml:space="preserve"> </w:t>
      </w:r>
      <w:r w:rsidR="00A417A0">
        <w:t>r</w:t>
      </w:r>
      <w:r w:rsidR="00FD4358">
        <w:t>ats</w:t>
      </w:r>
      <w:r w:rsidR="00252596">
        <w:t xml:space="preserve"> (</w:t>
      </w:r>
      <w:r w:rsidR="00252596" w:rsidRPr="00252596">
        <w:t>Liu et al., 2013; Srivastava and Gupta, 2018</w:t>
      </w:r>
      <w:r w:rsidR="00252596">
        <w:t>)</w:t>
      </w:r>
      <w:r w:rsidR="00FD4358">
        <w:t>.</w:t>
      </w:r>
      <w:r w:rsidR="009A7B2A">
        <w:t xml:space="preserve"> </w:t>
      </w:r>
      <w:r w:rsidR="008E7D1C">
        <w:t>Studies</w:t>
      </w:r>
      <w:r w:rsidR="009A24B6">
        <w:t xml:space="preserve"> </w:t>
      </w:r>
      <w:r w:rsidR="0065422C">
        <w:t xml:space="preserve">where the </w:t>
      </w:r>
      <w:r w:rsidR="00D5644B">
        <w:t xml:space="preserve">NOAEL </w:t>
      </w:r>
      <w:r w:rsidR="0065422C">
        <w:t>was</w:t>
      </w:r>
      <w:r w:rsidR="00D5644B">
        <w:t xml:space="preserve"> the highest dose tested were excluded from </w:t>
      </w:r>
      <w:r w:rsidR="00DB7DE7">
        <w:t xml:space="preserve">further assessment as it was unclear at which dose, if any, </w:t>
      </w:r>
      <w:r w:rsidR="0065422C">
        <w:t xml:space="preserve">a </w:t>
      </w:r>
      <w:r w:rsidR="002F2FD3">
        <w:t xml:space="preserve">BMR would have been reached. </w:t>
      </w:r>
      <w:r w:rsidR="008C4B8E">
        <w:t xml:space="preserve">The two selected studies </w:t>
      </w:r>
      <w:r w:rsidR="00FD3C22">
        <w:t xml:space="preserve">were submitted to a probabilistic uncertainty </w:t>
      </w:r>
      <w:r w:rsidR="003F45EA">
        <w:t>assessment according to the approach by the World Health Organisation (WHO IPCS, 201</w:t>
      </w:r>
      <w:r w:rsidR="006F3940">
        <w:t>7</w:t>
      </w:r>
      <w:r w:rsidR="003F45EA">
        <w:t>).</w:t>
      </w:r>
      <w:r w:rsidR="001328EE">
        <w:t xml:space="preserve"> Differently to EFSA’s deterministic approach, the distribution of possible HEDs resulting from </w:t>
      </w:r>
      <w:r w:rsidR="00FD2E2D">
        <w:t>toxicokinetic data w</w:t>
      </w:r>
      <w:r w:rsidR="001C4141">
        <w:t>ere</w:t>
      </w:r>
      <w:r w:rsidR="00FD2E2D">
        <w:t xml:space="preserve"> </w:t>
      </w:r>
      <w:r w:rsidR="00F35273">
        <w:t>thereby</w:t>
      </w:r>
      <w:r w:rsidR="00FD2E2D">
        <w:t xml:space="preserve"> combined with typical </w:t>
      </w:r>
      <w:r w:rsidR="00F35273">
        <w:t>distributions</w:t>
      </w:r>
      <w:r w:rsidR="00FD2E2D">
        <w:t xml:space="preserve"> for other uncertainties. </w:t>
      </w:r>
    </w:p>
    <w:p w14:paraId="22F00AD7" w14:textId="77777777" w:rsidR="00610238" w:rsidRDefault="00610238" w:rsidP="00610238">
      <w:pPr>
        <w:pStyle w:val="ListParagraph"/>
      </w:pPr>
    </w:p>
    <w:p w14:paraId="76C77A57" w14:textId="68555D25" w:rsidR="00013884" w:rsidRDefault="00A16262" w:rsidP="00B31B67">
      <w:pPr>
        <w:pStyle w:val="ListParagraph"/>
        <w:numPr>
          <w:ilvl w:val="0"/>
          <w:numId w:val="46"/>
        </w:numPr>
        <w:spacing w:line="480" w:lineRule="auto"/>
        <w:ind w:left="0" w:hanging="11"/>
      </w:pPr>
      <w:r>
        <w:t>Both EFSA and the BfR extrapolated the reference point (RP) to the TDI by substituting the toxicokinetic standard subfactor for interspecies extrapolation by a BPA-specific HEDF. The COT noted that b</w:t>
      </w:r>
      <w:r w:rsidR="00A17F69">
        <w:t>oth authorities</w:t>
      </w:r>
      <w:r>
        <w:t xml:space="preserve"> </w:t>
      </w:r>
      <w:r w:rsidR="00A17F69">
        <w:t xml:space="preserve">applied the same human </w:t>
      </w:r>
      <w:r w:rsidR="00A17F69">
        <w:lastRenderedPageBreak/>
        <w:t xml:space="preserve">data, however the animal studies </w:t>
      </w:r>
      <w:r w:rsidR="00AD2B25">
        <w:t xml:space="preserve">they </w:t>
      </w:r>
      <w:r w:rsidR="00A17F69">
        <w:t>used differed. This difference in animal studies resulted in HED values differing by two orders of magnitude, which in turn, together with the different approaches to the derivation of the TD</w:t>
      </w:r>
      <w:r w:rsidR="00003898">
        <w:t>I (deterministic versus probabilistic)</w:t>
      </w:r>
      <w:r w:rsidR="00A17F69">
        <w:t xml:space="preserve">, led to the difference in magnitude </w:t>
      </w:r>
      <w:r w:rsidR="005B0CDF">
        <w:t>for</w:t>
      </w:r>
      <w:r w:rsidR="00A17F69">
        <w:t xml:space="preserve"> the resulting HBGV. </w:t>
      </w:r>
      <w:r w:rsidR="00A9282D">
        <w:t>Th</w:t>
      </w:r>
      <w:r w:rsidR="003D795A" w:rsidRPr="00F01C34">
        <w:t>e</w:t>
      </w:r>
      <w:r w:rsidR="00A9282D">
        <w:t xml:space="preserve"> approach taken by the</w:t>
      </w:r>
      <w:r w:rsidR="003D795A" w:rsidRPr="00F01C34">
        <w:t xml:space="preserve"> BfR </w:t>
      </w:r>
      <w:r w:rsidR="00A9282D">
        <w:t xml:space="preserve">comprised a </w:t>
      </w:r>
      <w:r w:rsidR="003D795A" w:rsidRPr="00F01C34">
        <w:t xml:space="preserve">significant </w:t>
      </w:r>
      <w:r w:rsidR="003D795A">
        <w:t>degree</w:t>
      </w:r>
      <w:r w:rsidR="003D795A" w:rsidRPr="00F01C34">
        <w:t xml:space="preserve"> of conservatism </w:t>
      </w:r>
      <w:r w:rsidR="00A9282D">
        <w:t>in the</w:t>
      </w:r>
      <w:r w:rsidR="003D795A" w:rsidRPr="00F01C34">
        <w:t xml:space="preserve"> derivation of the TDI, </w:t>
      </w:r>
      <w:r w:rsidR="00A9282D">
        <w:t xml:space="preserve">however, the COT </w:t>
      </w:r>
      <w:r w:rsidR="00555926">
        <w:t>deemed</w:t>
      </w:r>
      <w:r w:rsidR="008D3B0E">
        <w:t xml:space="preserve"> the</w:t>
      </w:r>
      <w:r w:rsidR="003D795A" w:rsidRPr="00F01C34">
        <w:t xml:space="preserve"> overall assessment </w:t>
      </w:r>
      <w:r w:rsidR="00555926">
        <w:t xml:space="preserve">to have </w:t>
      </w:r>
      <w:r w:rsidR="003D795A" w:rsidRPr="00F01C34">
        <w:t xml:space="preserve">avoided </w:t>
      </w:r>
      <w:r w:rsidR="003D795A">
        <w:t>unnecessary</w:t>
      </w:r>
      <w:r w:rsidR="003D795A" w:rsidRPr="00F01C34">
        <w:t xml:space="preserve"> conservatism.</w:t>
      </w:r>
      <w:r w:rsidR="00A40D86">
        <w:t xml:space="preserve"> </w:t>
      </w:r>
    </w:p>
    <w:p w14:paraId="5DAD4A7F" w14:textId="77777777" w:rsidR="00013884" w:rsidRDefault="00013884" w:rsidP="00013884">
      <w:pPr>
        <w:pStyle w:val="ListParagraph"/>
      </w:pPr>
    </w:p>
    <w:p w14:paraId="3ACB7C09" w14:textId="25D74651" w:rsidR="00647D04" w:rsidRDefault="007D5AA9" w:rsidP="00361B6E">
      <w:pPr>
        <w:pStyle w:val="ListParagraph"/>
        <w:numPr>
          <w:ilvl w:val="0"/>
          <w:numId w:val="46"/>
        </w:numPr>
        <w:spacing w:line="480" w:lineRule="auto"/>
        <w:ind w:left="0" w:hanging="11"/>
      </w:pPr>
      <w:r>
        <w:t xml:space="preserve">While the COT acknowledged that there was clear evidence of BPA causing an effect on the immune system, the </w:t>
      </w:r>
      <w:r w:rsidR="00331703">
        <w:t xml:space="preserve">evidence </w:t>
      </w:r>
      <w:r w:rsidR="008D77F0">
        <w:t>as</w:t>
      </w:r>
      <w:r w:rsidR="00331703">
        <w:t xml:space="preserve"> a whole was not strong enough to support </w:t>
      </w:r>
      <w:r w:rsidR="008D77F0">
        <w:t xml:space="preserve">immunotoxicity </w:t>
      </w:r>
      <w:r w:rsidR="00331703">
        <w:t xml:space="preserve">as </w:t>
      </w:r>
      <w:r w:rsidR="008D77F0">
        <w:t>the</w:t>
      </w:r>
      <w:r w:rsidR="00331703">
        <w:t xml:space="preserve"> critical endpoint. </w:t>
      </w:r>
      <w:r w:rsidR="00361B6E">
        <w:t xml:space="preserve">However, </w:t>
      </w:r>
      <w:r w:rsidR="00345C82">
        <w:t xml:space="preserve">the </w:t>
      </w:r>
      <w:r w:rsidR="0066411A">
        <w:t>TDI</w:t>
      </w:r>
      <w:r w:rsidR="00345C82">
        <w:t xml:space="preserve"> derived by the BfR would still</w:t>
      </w:r>
      <w:r w:rsidR="002D7CA2">
        <w:t xml:space="preserve"> </w:t>
      </w:r>
      <w:r w:rsidR="00345C82">
        <w:t xml:space="preserve">be protective of a </w:t>
      </w:r>
      <w:r w:rsidR="00403040">
        <w:t>significant</w:t>
      </w:r>
      <w:r w:rsidR="00345C82">
        <w:t xml:space="preserve"> increase</w:t>
      </w:r>
      <w:r w:rsidR="002D7CA2">
        <w:t xml:space="preserve"> in the respective intermediate endpoint, as well as protective </w:t>
      </w:r>
      <w:r w:rsidR="00EC26AE">
        <w:t xml:space="preserve">with respect to other toxicological endpoints. </w:t>
      </w:r>
      <w:r w:rsidR="00B80D42">
        <w:t xml:space="preserve">Based on the current </w:t>
      </w:r>
      <w:r w:rsidR="006432B8">
        <w:t xml:space="preserve">body of </w:t>
      </w:r>
      <w:r w:rsidR="00B80D42">
        <w:t>evidence, a</w:t>
      </w:r>
      <w:r w:rsidR="00EC26AE">
        <w:t xml:space="preserve">dverse </w:t>
      </w:r>
      <w:r w:rsidR="008B5C80">
        <w:t xml:space="preserve">immunological </w:t>
      </w:r>
      <w:r w:rsidR="00EC26AE">
        <w:t>effects i</w:t>
      </w:r>
      <w:r w:rsidR="008B5C80">
        <w:t>n humans, or other toxicological effects</w:t>
      </w:r>
      <w:r w:rsidR="00B21D1C">
        <w:t xml:space="preserve"> </w:t>
      </w:r>
      <w:r w:rsidR="00403040">
        <w:t>wer</w:t>
      </w:r>
      <w:r w:rsidR="00B21D1C">
        <w:t xml:space="preserve">e unlikely to result from exposures in the range of the TDI of </w:t>
      </w:r>
      <w:r w:rsidR="00B21D1C" w:rsidRPr="0098607B">
        <w:t>0.2 μg/kg bw</w:t>
      </w:r>
      <w:r w:rsidR="00B21D1C">
        <w:t xml:space="preserve"> per day </w:t>
      </w:r>
      <w:r w:rsidR="00444BA7">
        <w:t>and</w:t>
      </w:r>
      <w:r w:rsidR="00B21D1C">
        <w:t xml:space="preserve"> would require higher exposure concentrations. </w:t>
      </w:r>
    </w:p>
    <w:p w14:paraId="0B0855A6" w14:textId="77777777" w:rsidR="004D0B2C" w:rsidRDefault="004D0B2C" w:rsidP="004D0B2C">
      <w:pPr>
        <w:pStyle w:val="ListParagraph"/>
        <w:spacing w:line="480" w:lineRule="auto"/>
        <w:ind w:left="0"/>
      </w:pPr>
    </w:p>
    <w:p w14:paraId="6C1E948E" w14:textId="77777777" w:rsidR="009E4C92" w:rsidRDefault="009E4C92" w:rsidP="0004284E">
      <w:pPr>
        <w:pStyle w:val="Heading2"/>
      </w:pPr>
      <w:r w:rsidRPr="00F94834">
        <w:t>Considerations on the exposures of UK consumers</w:t>
      </w:r>
    </w:p>
    <w:p w14:paraId="14B2DE36" w14:textId="77777777" w:rsidR="0004284E" w:rsidRPr="0004284E" w:rsidRDefault="0004284E" w:rsidP="0004284E"/>
    <w:p w14:paraId="4C5D84BD" w14:textId="573311F0" w:rsidR="007536F4" w:rsidRPr="007536F4" w:rsidRDefault="009E4C92" w:rsidP="007536F4">
      <w:pPr>
        <w:pStyle w:val="ListParagraph"/>
        <w:numPr>
          <w:ilvl w:val="0"/>
          <w:numId w:val="46"/>
        </w:numPr>
        <w:spacing w:line="480" w:lineRule="auto"/>
        <w:ind w:left="0" w:hanging="11"/>
      </w:pPr>
      <w:r>
        <w:t>In line with EFSA and the BfR, the C</w:t>
      </w:r>
      <w:r w:rsidR="00AD2B25">
        <w:t>OT</w:t>
      </w:r>
      <w:r>
        <w:t xml:space="preserve"> highlighted that the most recent exposure data predate</w:t>
      </w:r>
      <w:r w:rsidR="001D6888">
        <w:t>d</w:t>
      </w:r>
      <w:r>
        <w:t xml:space="preserve"> the 2015 EFSA opinion. A comparison of the t-TDI with exposure estimates in 2015 found no health concern for any age group from dietary exposure and low health concern </w:t>
      </w:r>
      <w:r w:rsidR="00F82E8D">
        <w:t>(</w:t>
      </w:r>
      <w:r w:rsidR="004E5F3F">
        <w:t>i.e.</w:t>
      </w:r>
      <w:r w:rsidR="00F82E8D">
        <w:t xml:space="preserve"> </w:t>
      </w:r>
      <w:r w:rsidR="00F82E8D" w:rsidRPr="00F82E8D">
        <w:t xml:space="preserve">considered </w:t>
      </w:r>
      <w:r w:rsidR="00E54291">
        <w:t>un</w:t>
      </w:r>
      <w:r w:rsidR="00F82E8D" w:rsidRPr="00F82E8D">
        <w:t>likely to cause adverse health effects</w:t>
      </w:r>
      <w:r w:rsidR="00F82E8D">
        <w:t xml:space="preserve">) </w:t>
      </w:r>
      <w:r>
        <w:t>from aggregate exposure to</w:t>
      </w:r>
      <w:r w:rsidR="00F82E8D">
        <w:t xml:space="preserve"> </w:t>
      </w:r>
      <w:r>
        <w:t xml:space="preserve">BPA. While EFSA was not explicitly asked to perform an exposure assessment in their 2023 evaluation, using the exposures estimated from 2015 would lead to exceedances of approximately 2-3 orders of </w:t>
      </w:r>
      <w:r>
        <w:lastRenderedPageBreak/>
        <w:t xml:space="preserve">magnitude. However, EFSA noted that the data used </w:t>
      </w:r>
      <w:r w:rsidR="008146F5">
        <w:t xml:space="preserve">in their </w:t>
      </w:r>
      <w:r w:rsidR="00E05246">
        <w:t xml:space="preserve">2023 evaluation </w:t>
      </w:r>
      <w:r>
        <w:t xml:space="preserve">may not accurately reflect </w:t>
      </w:r>
      <w:r w:rsidR="00E05246">
        <w:t xml:space="preserve">the </w:t>
      </w:r>
      <w:r>
        <w:t>current exposure</w:t>
      </w:r>
      <w:r w:rsidR="008A01B1">
        <w:t xml:space="preserve"> scenarios</w:t>
      </w:r>
      <w:r>
        <w:t xml:space="preserve"> of consumers. Both, the BfR and the COT agreed with the uncertainties in this approach. The BfR did not undertake an exposure assessment in their evaluation </w:t>
      </w:r>
      <w:r w:rsidRPr="008C2898">
        <w:t xml:space="preserve">and </w:t>
      </w:r>
      <w:r>
        <w:t xml:space="preserve">both the BfR and </w:t>
      </w:r>
      <w:r w:rsidRPr="008C2898">
        <w:t>the COT stressed the importance of updated occurrence levels to fully assess any potential risks to consumers.</w:t>
      </w:r>
      <w:r w:rsidRPr="004A1306">
        <w:rPr>
          <w:rFonts w:cs="Arial"/>
          <w:szCs w:val="24"/>
        </w:rPr>
        <w:t xml:space="preserve"> </w:t>
      </w:r>
    </w:p>
    <w:p w14:paraId="10472E24" w14:textId="77777777" w:rsidR="007536F4" w:rsidRDefault="007536F4" w:rsidP="007536F4">
      <w:pPr>
        <w:pStyle w:val="ListParagraph"/>
        <w:spacing w:line="480" w:lineRule="auto"/>
        <w:ind w:left="0"/>
      </w:pPr>
    </w:p>
    <w:p w14:paraId="66BD01F9" w14:textId="3A463D88" w:rsidR="00965DD5" w:rsidRPr="007536F4" w:rsidRDefault="00B032A0" w:rsidP="007536F4">
      <w:pPr>
        <w:pStyle w:val="ListParagraph"/>
        <w:numPr>
          <w:ilvl w:val="0"/>
          <w:numId w:val="46"/>
        </w:numPr>
        <w:spacing w:line="480" w:lineRule="auto"/>
        <w:ind w:left="0" w:hanging="11"/>
      </w:pPr>
      <w:r>
        <w:t>While a</w:t>
      </w:r>
      <w:r w:rsidR="009E4C92" w:rsidRPr="005355C5">
        <w:t xml:space="preserve">dopting the TDI </w:t>
      </w:r>
      <w:r>
        <w:t xml:space="preserve">set by the BfR </w:t>
      </w:r>
      <w:r w:rsidR="00360110">
        <w:t>wa</w:t>
      </w:r>
      <w:r w:rsidR="009E4C92" w:rsidRPr="005355C5">
        <w:t>s</w:t>
      </w:r>
      <w:r>
        <w:t xml:space="preserve"> a</w:t>
      </w:r>
      <w:r w:rsidR="009E4C92" w:rsidRPr="005355C5">
        <w:t xml:space="preserve"> precautionary</w:t>
      </w:r>
      <w:r>
        <w:t xml:space="preserve"> approach</w:t>
      </w:r>
      <w:r w:rsidR="009E4C92" w:rsidRPr="005355C5">
        <w:t xml:space="preserve">, </w:t>
      </w:r>
      <w:r w:rsidR="00FB10E2">
        <w:t xml:space="preserve">the COT highlighted that </w:t>
      </w:r>
      <w:r w:rsidR="009E4C92" w:rsidRPr="005355C5">
        <w:t xml:space="preserve">having an up-to-date exposure assessment would </w:t>
      </w:r>
      <w:r w:rsidR="009E4C92">
        <w:t xml:space="preserve">further </w:t>
      </w:r>
      <w:r w:rsidR="009E4C92" w:rsidRPr="005355C5">
        <w:t xml:space="preserve">mitigate any </w:t>
      </w:r>
      <w:r w:rsidR="009E4C92">
        <w:t xml:space="preserve">potential </w:t>
      </w:r>
      <w:r w:rsidR="009E4C92" w:rsidRPr="005355C5">
        <w:t>risk</w:t>
      </w:r>
      <w:r w:rsidR="009E4C92">
        <w:t xml:space="preserve"> </w:t>
      </w:r>
      <w:r>
        <w:t xml:space="preserve">as </w:t>
      </w:r>
      <w:r w:rsidR="009E4C92">
        <w:t xml:space="preserve">it would provide an up to date picture of the current UK exposures and provide </w:t>
      </w:r>
      <w:r w:rsidR="009E4C92" w:rsidRPr="005355C5">
        <w:t>evidence compared to EFSA</w:t>
      </w:r>
      <w:r w:rsidR="009E4C92">
        <w:t>’s</w:t>
      </w:r>
      <w:r w:rsidR="009E4C92" w:rsidRPr="005355C5">
        <w:t xml:space="preserve"> more stringent approach.  </w:t>
      </w:r>
    </w:p>
    <w:p w14:paraId="0286272B" w14:textId="3FD4AFF5" w:rsidR="004D0B2C" w:rsidRPr="004D0B2C" w:rsidRDefault="00414CD8" w:rsidP="004D0B2C">
      <w:pPr>
        <w:pStyle w:val="ListParagraph"/>
        <w:spacing w:line="480" w:lineRule="auto"/>
        <w:ind w:left="0"/>
        <w:rPr>
          <w:b/>
          <w:bCs/>
        </w:rPr>
      </w:pPr>
      <w:r>
        <w:rPr>
          <w:b/>
          <w:bCs/>
        </w:rPr>
        <w:t xml:space="preserve"> </w:t>
      </w:r>
    </w:p>
    <w:p w14:paraId="3F063C3A" w14:textId="7C08554A" w:rsidR="004D4D41" w:rsidRDefault="004D4D41" w:rsidP="0004284E">
      <w:pPr>
        <w:pStyle w:val="Heading1"/>
      </w:pPr>
      <w:r w:rsidRPr="004D4D41">
        <w:t>Overall conclusion by the COT</w:t>
      </w:r>
    </w:p>
    <w:p w14:paraId="56F3170C" w14:textId="77777777" w:rsidR="0004284E" w:rsidRPr="0004284E" w:rsidRDefault="0004284E" w:rsidP="0004284E"/>
    <w:p w14:paraId="160B13C7" w14:textId="2AA9F340" w:rsidR="00C1086C" w:rsidRDefault="003A361B" w:rsidP="004634D2">
      <w:pPr>
        <w:pStyle w:val="ListParagraph"/>
        <w:numPr>
          <w:ilvl w:val="0"/>
          <w:numId w:val="46"/>
        </w:numPr>
        <w:spacing w:line="480" w:lineRule="auto"/>
        <w:ind w:left="0" w:hanging="11"/>
      </w:pPr>
      <w:r>
        <w:t xml:space="preserve">Following the publication of the </w:t>
      </w:r>
      <w:r w:rsidR="00241C5F">
        <w:t xml:space="preserve">most </w:t>
      </w:r>
      <w:r>
        <w:t xml:space="preserve">recent EFSA </w:t>
      </w:r>
      <w:r w:rsidR="00F91B23">
        <w:t>evaluation</w:t>
      </w:r>
      <w:r w:rsidR="00241C5F">
        <w:t xml:space="preserve"> (2023)</w:t>
      </w:r>
      <w:r>
        <w:t xml:space="preserve">, the COT agreed that there was a requirement to assess the new evidence </w:t>
      </w:r>
      <w:r w:rsidR="0069425C">
        <w:t xml:space="preserve">on BPA and adjust the current TDI. </w:t>
      </w:r>
      <w:r w:rsidR="00246AFF">
        <w:t>T</w:t>
      </w:r>
      <w:r w:rsidR="00D16965">
        <w:t>o ensure timely consumer protection,</w:t>
      </w:r>
      <w:r w:rsidR="00551D37">
        <w:t xml:space="preserve"> rather than undertaking a lengthy assessment, t</w:t>
      </w:r>
      <w:r w:rsidR="00246AFF">
        <w:t xml:space="preserve">he COT </w:t>
      </w:r>
      <w:r w:rsidR="00332A07">
        <w:t xml:space="preserve">instead </w:t>
      </w:r>
      <w:r w:rsidR="00551D37">
        <w:t>assessed</w:t>
      </w:r>
      <w:r w:rsidR="00246AFF">
        <w:t xml:space="preserve"> the weighing of evidence and approaches taken by both EFSA and the BfR.</w:t>
      </w:r>
      <w:r w:rsidR="00D16965">
        <w:t xml:space="preserve"> </w:t>
      </w:r>
      <w:r w:rsidR="00D00CE7">
        <w:t xml:space="preserve">However, </w:t>
      </w:r>
      <w:r w:rsidR="00EB1A21">
        <w:t>a non-systematic</w:t>
      </w:r>
      <w:r w:rsidR="007C13D1">
        <w:t xml:space="preserve"> literature </w:t>
      </w:r>
      <w:r w:rsidR="00EB1A21">
        <w:t xml:space="preserve">search </w:t>
      </w:r>
      <w:r w:rsidR="007C13D1">
        <w:t xml:space="preserve">was also undertaken to </w:t>
      </w:r>
      <w:r w:rsidR="000034A4">
        <w:t>ensure</w:t>
      </w:r>
      <w:r w:rsidR="007C13D1">
        <w:t xml:space="preserve"> no new </w:t>
      </w:r>
      <w:r w:rsidR="00702B7A">
        <w:t>data</w:t>
      </w:r>
      <w:r w:rsidR="007C13D1">
        <w:t xml:space="preserve"> had been published since the BfR assessment in 2023</w:t>
      </w:r>
      <w:r w:rsidR="00D958F3">
        <w:t>.</w:t>
      </w:r>
    </w:p>
    <w:p w14:paraId="3231C154" w14:textId="532D1D8C" w:rsidR="008E3BEE" w:rsidRDefault="008E3BEE" w:rsidP="008E3BEE">
      <w:pPr>
        <w:pStyle w:val="ListParagraph"/>
        <w:spacing w:line="480" w:lineRule="auto"/>
        <w:ind w:left="0"/>
      </w:pPr>
    </w:p>
    <w:p w14:paraId="53A70433" w14:textId="7C750A0B" w:rsidR="002E0888" w:rsidRDefault="00CC47E9" w:rsidP="00181D29">
      <w:pPr>
        <w:pStyle w:val="ListParagraph"/>
        <w:numPr>
          <w:ilvl w:val="0"/>
          <w:numId w:val="46"/>
        </w:numPr>
        <w:spacing w:line="480" w:lineRule="auto"/>
        <w:ind w:left="0" w:hanging="11"/>
      </w:pPr>
      <w:r>
        <w:t>The COT agreed with EFSA and the BfR that adverse effects of BPA, other than immunological effects and effects on reproduction</w:t>
      </w:r>
      <w:r w:rsidR="000E1A20">
        <w:t xml:space="preserve">, occurred at higher </w:t>
      </w:r>
      <w:r w:rsidR="00721007">
        <w:t xml:space="preserve">concentrations and were therefore not of </w:t>
      </w:r>
      <w:r w:rsidR="00D958F3">
        <w:t xml:space="preserve">direct </w:t>
      </w:r>
      <w:r w:rsidR="00721007">
        <w:t>relevance</w:t>
      </w:r>
      <w:r w:rsidR="004E596C">
        <w:t xml:space="preserve">, i.e. a HBGV derived on </w:t>
      </w:r>
      <w:r w:rsidR="004E596C">
        <w:lastRenderedPageBreak/>
        <w:t>either of these endpoint</w:t>
      </w:r>
      <w:r w:rsidR="00FF2FAF">
        <w:t>s</w:t>
      </w:r>
      <w:r w:rsidR="004E596C">
        <w:t xml:space="preserve"> would also be protective for other toxicological effects.</w:t>
      </w:r>
      <w:r w:rsidR="00181D29">
        <w:t xml:space="preserve"> The COT was further in agreement that BPA did not demonstrate</w:t>
      </w:r>
      <w:r w:rsidR="002E0888">
        <w:t xml:space="preserve"> genotoxic or carcinogenic </w:t>
      </w:r>
      <w:r w:rsidR="00181D29">
        <w:t>potential</w:t>
      </w:r>
      <w:r w:rsidR="002E0888">
        <w:t>.</w:t>
      </w:r>
    </w:p>
    <w:p w14:paraId="3B11EE3D" w14:textId="77777777" w:rsidR="00A60E00" w:rsidRDefault="00A60E00" w:rsidP="00A60E00">
      <w:pPr>
        <w:pStyle w:val="ListParagraph"/>
      </w:pPr>
    </w:p>
    <w:p w14:paraId="61A6005E" w14:textId="01AB6B00" w:rsidR="00FB62E3" w:rsidRDefault="004A59A7" w:rsidP="008E3BEE">
      <w:pPr>
        <w:pStyle w:val="ListParagraph"/>
        <w:numPr>
          <w:ilvl w:val="0"/>
          <w:numId w:val="46"/>
        </w:numPr>
        <w:spacing w:line="480" w:lineRule="auto"/>
        <w:ind w:left="0" w:hanging="11"/>
      </w:pPr>
      <w:r>
        <w:t xml:space="preserve">While the </w:t>
      </w:r>
      <w:r w:rsidR="00EF3592">
        <w:t xml:space="preserve">COT acknowledged that there was a clear effect of BPA on the immune system, the evidence, i.e. effects on </w:t>
      </w:r>
      <w:r w:rsidR="00BA2804">
        <w:t xml:space="preserve">an </w:t>
      </w:r>
      <w:r w:rsidR="00EF3592">
        <w:t xml:space="preserve">intermediate endpoint, was not sufficient to consider </w:t>
      </w:r>
      <w:r w:rsidR="005B64F9">
        <w:t>immunotoxicity as the key adverse effect.</w:t>
      </w:r>
      <w:r w:rsidR="001D4839">
        <w:t xml:space="preserve"> The </w:t>
      </w:r>
      <w:r w:rsidR="007A0119">
        <w:t xml:space="preserve">available </w:t>
      </w:r>
      <w:r w:rsidR="001D4839">
        <w:t>data w</w:t>
      </w:r>
      <w:r w:rsidR="00287A65">
        <w:t>ere</w:t>
      </w:r>
      <w:r w:rsidR="001D4839">
        <w:t xml:space="preserve"> not </w:t>
      </w:r>
      <w:r w:rsidR="00287A65">
        <w:t xml:space="preserve">sufficiently </w:t>
      </w:r>
      <w:r w:rsidR="001D4839">
        <w:t xml:space="preserve">robust </w:t>
      </w:r>
      <w:r w:rsidR="00287A65">
        <w:t>t</w:t>
      </w:r>
      <w:r w:rsidR="001D4839">
        <w:t>o demonstrate a clear progression from an intermediate endpoint to a</w:t>
      </w:r>
      <w:r w:rsidR="007A0119">
        <w:t xml:space="preserve"> continuous</w:t>
      </w:r>
      <w:r w:rsidR="001D4839">
        <w:t xml:space="preserve"> apical effect</w:t>
      </w:r>
      <w:r w:rsidR="007A0119">
        <w:t>.</w:t>
      </w:r>
      <w:r w:rsidR="005B64F9">
        <w:t xml:space="preserve"> </w:t>
      </w:r>
      <w:r w:rsidR="009A3BF0">
        <w:t>T</w:t>
      </w:r>
      <w:r w:rsidR="00CE1E7A">
        <w:t>he COT</w:t>
      </w:r>
      <w:r w:rsidR="009A3BF0">
        <w:t xml:space="preserve"> instead agreed with the BfR</w:t>
      </w:r>
      <w:r w:rsidR="0068485E">
        <w:t xml:space="preserve"> that </w:t>
      </w:r>
      <w:r w:rsidR="00B84445">
        <w:t xml:space="preserve">adverse effects on male reproduction, i.e. sperm count and motility, </w:t>
      </w:r>
      <w:r w:rsidR="0068485E">
        <w:t>were</w:t>
      </w:r>
      <w:r w:rsidR="00CF1396">
        <w:t xml:space="preserve"> the critical endpoint</w:t>
      </w:r>
      <w:r w:rsidR="00960483">
        <w:t xml:space="preserve"> and should be </w:t>
      </w:r>
      <w:r w:rsidR="00FB62E3">
        <w:t>applied</w:t>
      </w:r>
      <w:r w:rsidR="00960483">
        <w:t xml:space="preserve"> to derive a HBGV</w:t>
      </w:r>
      <w:r w:rsidR="00690370">
        <w:t xml:space="preserve">. </w:t>
      </w:r>
      <w:r w:rsidR="00274CAB">
        <w:t xml:space="preserve">This was in line with previous COT assessments. </w:t>
      </w:r>
    </w:p>
    <w:p w14:paraId="3868FAB4" w14:textId="77777777" w:rsidR="00FB62E3" w:rsidRDefault="00FB62E3" w:rsidP="00FB62E3">
      <w:pPr>
        <w:pStyle w:val="ListParagraph"/>
      </w:pPr>
    </w:p>
    <w:p w14:paraId="466ED535" w14:textId="34EFE238" w:rsidR="00CE1E7A" w:rsidRDefault="008C6A32" w:rsidP="008E3BEE">
      <w:pPr>
        <w:pStyle w:val="ListParagraph"/>
        <w:numPr>
          <w:ilvl w:val="0"/>
          <w:numId w:val="46"/>
        </w:numPr>
        <w:spacing w:line="480" w:lineRule="auto"/>
        <w:ind w:left="0" w:hanging="11"/>
      </w:pPr>
      <w:r>
        <w:t>The</w:t>
      </w:r>
      <w:r w:rsidR="00FB62E3">
        <w:t xml:space="preserve"> s</w:t>
      </w:r>
      <w:r w:rsidR="009A14D2">
        <w:t xml:space="preserve">tudies published since the BfR assessment </w:t>
      </w:r>
      <w:r w:rsidR="00FB62E3">
        <w:t xml:space="preserve">were informative and </w:t>
      </w:r>
      <w:r w:rsidR="009A14D2">
        <w:t>added to the overall knowledge</w:t>
      </w:r>
      <w:r w:rsidR="004E5F3F">
        <w:t xml:space="preserve"> </w:t>
      </w:r>
      <w:r w:rsidR="009A14D2">
        <w:t>base</w:t>
      </w:r>
      <w:r w:rsidR="00FB62E3">
        <w:t xml:space="preserve">, </w:t>
      </w:r>
      <w:r w:rsidR="003A49F9">
        <w:t xml:space="preserve">but </w:t>
      </w:r>
      <w:r w:rsidR="00175F44">
        <w:t xml:space="preserve">did </w:t>
      </w:r>
      <w:r w:rsidR="007D2832">
        <w:t xml:space="preserve">not contain sufficient evidence to </w:t>
      </w:r>
      <w:r w:rsidR="00175F44">
        <w:t xml:space="preserve">alter the view of the COT regarding the </w:t>
      </w:r>
      <w:r w:rsidR="00274CAB">
        <w:t>critical endpoint</w:t>
      </w:r>
      <w:r w:rsidR="007D2832">
        <w:t xml:space="preserve"> </w:t>
      </w:r>
      <w:r w:rsidR="000F7CE8">
        <w:t>or effect dose</w:t>
      </w:r>
      <w:r w:rsidR="00274CAB">
        <w:t xml:space="preserve">. </w:t>
      </w:r>
    </w:p>
    <w:p w14:paraId="24F63A68" w14:textId="77777777" w:rsidR="00CE1E7A" w:rsidRDefault="00CE1E7A" w:rsidP="00CE1E7A">
      <w:pPr>
        <w:pStyle w:val="ListParagraph"/>
      </w:pPr>
    </w:p>
    <w:p w14:paraId="055B724C" w14:textId="77777777" w:rsidR="00165A98" w:rsidRDefault="00165A98" w:rsidP="00165A98">
      <w:pPr>
        <w:pStyle w:val="ListParagraph"/>
      </w:pPr>
    </w:p>
    <w:p w14:paraId="01DFDA30" w14:textId="497FDB88" w:rsidR="005B2B26" w:rsidRDefault="008C6A32" w:rsidP="000C3FDA">
      <w:pPr>
        <w:pStyle w:val="ListParagraph"/>
        <w:numPr>
          <w:ilvl w:val="0"/>
          <w:numId w:val="46"/>
        </w:numPr>
        <w:spacing w:line="480" w:lineRule="auto"/>
        <w:ind w:left="0" w:hanging="11"/>
      </w:pPr>
      <w:r>
        <w:t>Although t</w:t>
      </w:r>
      <w:r w:rsidR="00BA7406">
        <w:t xml:space="preserve">he COT considered the </w:t>
      </w:r>
      <w:r w:rsidR="00D14A9C">
        <w:t>BfR</w:t>
      </w:r>
      <w:r w:rsidR="00186E3E">
        <w:t>’s</w:t>
      </w:r>
      <w:r w:rsidR="00D14A9C">
        <w:t xml:space="preserve"> TDI highly conservative, in comparison to </w:t>
      </w:r>
      <w:r w:rsidR="009A4D5C">
        <w:t>EFSA</w:t>
      </w:r>
      <w:r w:rsidR="00D93603">
        <w:t>’s</w:t>
      </w:r>
      <w:r w:rsidR="009A4D5C">
        <w:t xml:space="preserve">, </w:t>
      </w:r>
      <w:r w:rsidR="000C5FAA">
        <w:t>their approach</w:t>
      </w:r>
      <w:r w:rsidR="009A4D5C">
        <w:t xml:space="preserve"> avoided unnecessary conservatism. </w:t>
      </w:r>
      <w:r w:rsidR="00421681">
        <w:t>Hence, after evaluating the available information</w:t>
      </w:r>
      <w:r w:rsidR="002770B2">
        <w:t>, t</w:t>
      </w:r>
      <w:r w:rsidR="00165A98">
        <w:t xml:space="preserve">he COT </w:t>
      </w:r>
      <w:r w:rsidR="008C5C37">
        <w:t>considered</w:t>
      </w:r>
      <w:r w:rsidR="004634D2">
        <w:t xml:space="preserve"> the endpoint </w:t>
      </w:r>
      <w:r w:rsidR="004A1306">
        <w:t>selected and</w:t>
      </w:r>
      <w:r w:rsidR="004634D2">
        <w:t xml:space="preserve"> approach applied by the BfR scientifically robust </w:t>
      </w:r>
      <w:r w:rsidR="00014DD4">
        <w:t>and</w:t>
      </w:r>
      <w:r w:rsidR="004634D2">
        <w:t xml:space="preserve"> </w:t>
      </w:r>
      <w:r w:rsidR="00E47F0F">
        <w:t xml:space="preserve">hence </w:t>
      </w:r>
      <w:r w:rsidR="004634D2">
        <w:t xml:space="preserve">agreed to adopt the TDI of 0.2 </w:t>
      </w:r>
      <w:r w:rsidR="006C6E27">
        <w:rPr>
          <w:rFonts w:cs="Arial"/>
        </w:rPr>
        <w:t>µ</w:t>
      </w:r>
      <w:r w:rsidR="004634D2">
        <w:t>g/kg bw per day derived by the BfR.</w:t>
      </w:r>
    </w:p>
    <w:p w14:paraId="0C1DB1B9" w14:textId="77777777" w:rsidR="00492F04" w:rsidRDefault="00492F04" w:rsidP="00492F04">
      <w:pPr>
        <w:pStyle w:val="ListParagraph"/>
        <w:spacing w:line="480" w:lineRule="auto"/>
        <w:ind w:left="0"/>
      </w:pPr>
    </w:p>
    <w:p w14:paraId="23E7C0B2" w14:textId="664C9DD6" w:rsidR="0054428D" w:rsidRPr="00CF7B25" w:rsidRDefault="00492F04" w:rsidP="0004284E">
      <w:pPr>
        <w:pStyle w:val="Heading1"/>
      </w:pPr>
      <w:r>
        <w:t>C</w:t>
      </w:r>
      <w:r w:rsidR="00CF7B25" w:rsidRPr="00CF7B25">
        <w:t>OT Evaluation Timeline</w:t>
      </w:r>
    </w:p>
    <w:p w14:paraId="1879708A" w14:textId="2A6D215E" w:rsidR="00660922" w:rsidRDefault="009D0B23" w:rsidP="0054428D">
      <w:pPr>
        <w:spacing w:line="480" w:lineRule="auto"/>
      </w:pPr>
      <w:r>
        <w:t>Discussion</w:t>
      </w:r>
      <w:r w:rsidR="00D30018">
        <w:t xml:space="preserve"> of the Draft EFSA Opinion (2022</w:t>
      </w:r>
      <w:r w:rsidR="00B3083D">
        <w:t xml:space="preserve">; </w:t>
      </w:r>
      <w:hyperlink r:id="rId36" w:history="1">
        <w:r w:rsidR="00B3083D" w:rsidRPr="00B3083D">
          <w:rPr>
            <w:rStyle w:val="Hyperlink"/>
          </w:rPr>
          <w:t>TOX/22/11-16</w:t>
        </w:r>
      </w:hyperlink>
      <w:r w:rsidR="00D30018">
        <w:t>)</w:t>
      </w:r>
    </w:p>
    <w:p w14:paraId="6F0D84D7" w14:textId="7C3CBCA9" w:rsidR="00055546" w:rsidRDefault="00055546" w:rsidP="0054428D">
      <w:pPr>
        <w:spacing w:line="480" w:lineRule="auto"/>
      </w:pPr>
      <w:r>
        <w:lastRenderedPageBreak/>
        <w:t>Discussion of the EFSA 2023 Opinion</w:t>
      </w:r>
      <w:r w:rsidR="00A71DE9">
        <w:t xml:space="preserve"> (</w:t>
      </w:r>
      <w:hyperlink r:id="rId37" w:history="1">
        <w:r w:rsidR="00A71DE9" w:rsidRPr="00A71DE9">
          <w:rPr>
            <w:rStyle w:val="Hyperlink"/>
          </w:rPr>
          <w:t>TOX/23/25</w:t>
        </w:r>
      </w:hyperlink>
      <w:r w:rsidR="00A71DE9">
        <w:t>)</w:t>
      </w:r>
      <w:r w:rsidR="003F3AC5">
        <w:t xml:space="preserve">; COT First </w:t>
      </w:r>
      <w:r w:rsidR="00B71274">
        <w:t>draft interim position</w:t>
      </w:r>
      <w:r w:rsidR="003F3AC5">
        <w:t xml:space="preserve"> </w:t>
      </w:r>
      <w:r w:rsidR="00B71274">
        <w:t>s</w:t>
      </w:r>
      <w:r w:rsidR="003F3AC5">
        <w:t>tatement</w:t>
      </w:r>
    </w:p>
    <w:p w14:paraId="645CE330" w14:textId="36AA9614" w:rsidR="00790B63" w:rsidRDefault="003F3AC5" w:rsidP="0054428D">
      <w:pPr>
        <w:spacing w:line="480" w:lineRule="auto"/>
      </w:pPr>
      <w:r>
        <w:t xml:space="preserve">TOX/23/45: </w:t>
      </w:r>
      <w:hyperlink r:id="rId38" w:history="1">
        <w:r w:rsidRPr="006227ED">
          <w:rPr>
            <w:rStyle w:val="Hyperlink"/>
          </w:rPr>
          <w:t>Second draft interim position statement on bisphenol A</w:t>
        </w:r>
      </w:hyperlink>
    </w:p>
    <w:p w14:paraId="2DA8545D" w14:textId="65DA693A" w:rsidR="00790B63" w:rsidRDefault="00A52451" w:rsidP="0054428D">
      <w:pPr>
        <w:spacing w:line="480" w:lineRule="auto"/>
      </w:pPr>
      <w:r>
        <w:t xml:space="preserve">TOX/23/50: </w:t>
      </w:r>
      <w:hyperlink r:id="rId39" w:history="1">
        <w:r w:rsidRPr="00531BAC">
          <w:rPr>
            <w:rStyle w:val="Hyperlink"/>
          </w:rPr>
          <w:t>Third draft interim position statement on bisphenol A</w:t>
        </w:r>
      </w:hyperlink>
    </w:p>
    <w:p w14:paraId="5077A0D2" w14:textId="1F84D153" w:rsidR="00A52451" w:rsidRDefault="00BC7C1F" w:rsidP="0054428D">
      <w:pPr>
        <w:spacing w:line="480" w:lineRule="auto"/>
      </w:pPr>
      <w:r>
        <w:t xml:space="preserve">TOX/23/61: </w:t>
      </w:r>
      <w:hyperlink r:id="rId40" w:history="1">
        <w:r w:rsidR="007633F2" w:rsidRPr="007633F2">
          <w:rPr>
            <w:rStyle w:val="Hyperlink"/>
          </w:rPr>
          <w:t>Bisphenol A: The Dutch National Institute for Public Health and the Environment (RIVM), BPA Part 2</w:t>
        </w:r>
      </w:hyperlink>
    </w:p>
    <w:p w14:paraId="6DCBA900" w14:textId="73E681E3" w:rsidR="00A52451" w:rsidRDefault="00635AB0" w:rsidP="0054428D">
      <w:pPr>
        <w:spacing w:line="480" w:lineRule="auto"/>
      </w:pPr>
      <w:r>
        <w:t>TOX/24/08:</w:t>
      </w:r>
      <w:r w:rsidR="0036063F" w:rsidRPr="0036063F">
        <w:t xml:space="preserve"> </w:t>
      </w:r>
      <w:hyperlink r:id="rId41" w:history="1">
        <w:r w:rsidR="0036063F" w:rsidRPr="0036063F">
          <w:rPr>
            <w:rStyle w:val="Hyperlink"/>
          </w:rPr>
          <w:t>Fourth draft interim position paper on bisphenol A</w:t>
        </w:r>
      </w:hyperlink>
    </w:p>
    <w:p w14:paraId="1CFA08E6" w14:textId="23377967" w:rsidR="00635AB0" w:rsidRDefault="0083309E" w:rsidP="0054428D">
      <w:pPr>
        <w:spacing w:line="480" w:lineRule="auto"/>
      </w:pPr>
      <w:r>
        <w:t xml:space="preserve">TOX/24/13: </w:t>
      </w:r>
      <w:hyperlink r:id="rId42" w:history="1">
        <w:r w:rsidR="00DA773A" w:rsidRPr="00DA773A">
          <w:rPr>
            <w:rStyle w:val="Hyperlink"/>
          </w:rPr>
          <w:t>Fifth Draft Interim Position Statement on Bisphenol A</w:t>
        </w:r>
      </w:hyperlink>
    </w:p>
    <w:p w14:paraId="4CFB9DDE" w14:textId="656823E3" w:rsidR="00635AB0" w:rsidRDefault="002C1348" w:rsidP="0054428D">
      <w:pPr>
        <w:spacing w:line="480" w:lineRule="auto"/>
      </w:pPr>
      <w:r>
        <w:t xml:space="preserve">TOX/24/19: </w:t>
      </w:r>
      <w:hyperlink r:id="rId43" w:history="1">
        <w:r w:rsidR="00B81053" w:rsidRPr="00B81053">
          <w:rPr>
            <w:rStyle w:val="Hyperlink"/>
          </w:rPr>
          <w:t>Sixth draft interim position statement on bisphenol A</w:t>
        </w:r>
      </w:hyperlink>
    </w:p>
    <w:p w14:paraId="02BDE1BD" w14:textId="019C77AC" w:rsidR="00AA5485" w:rsidRDefault="00AA5485" w:rsidP="0054428D">
      <w:pPr>
        <w:spacing w:line="480" w:lineRule="auto"/>
      </w:pPr>
      <w:hyperlink r:id="rId44" w:history="1">
        <w:r w:rsidRPr="00AA5485">
          <w:rPr>
            <w:rStyle w:val="Hyperlink"/>
          </w:rPr>
          <w:t>COT Position Paper on Bisphenol A (BPA)</w:t>
        </w:r>
      </w:hyperlink>
    </w:p>
    <w:p w14:paraId="2E411040" w14:textId="77777777" w:rsidR="00635AB0" w:rsidRDefault="00635AB0" w:rsidP="0054428D">
      <w:pPr>
        <w:spacing w:line="480" w:lineRule="auto"/>
      </w:pPr>
    </w:p>
    <w:p w14:paraId="2B676245" w14:textId="34845D16" w:rsidR="00032751" w:rsidRPr="00953A7F" w:rsidRDefault="00594285" w:rsidP="00461E31">
      <w:pPr>
        <w:spacing w:line="480" w:lineRule="auto"/>
        <w:rPr>
          <w:rFonts w:eastAsia="Times New Roman" w:cs="Arial"/>
          <w:b/>
          <w:bCs/>
          <w:szCs w:val="20"/>
          <w:lang w:eastAsia="en-GB"/>
        </w:rPr>
      </w:pPr>
      <w:r>
        <w:rPr>
          <w:rFonts w:eastAsia="Times New Roman" w:cs="Arial"/>
          <w:b/>
          <w:bCs/>
          <w:szCs w:val="20"/>
          <w:lang w:eastAsia="en-GB"/>
        </w:rPr>
        <w:t xml:space="preserve">COT </w:t>
      </w:r>
      <w:r w:rsidR="009A76D0">
        <w:rPr>
          <w:rFonts w:eastAsia="Times New Roman" w:cs="Arial"/>
          <w:b/>
          <w:bCs/>
          <w:szCs w:val="20"/>
          <w:lang w:eastAsia="en-GB"/>
        </w:rPr>
        <w:t>supplementary statement</w:t>
      </w:r>
    </w:p>
    <w:p w14:paraId="3831B208" w14:textId="0BAEB876" w:rsidR="00032751" w:rsidRDefault="00287F56" w:rsidP="00461E31">
      <w:pPr>
        <w:spacing w:line="480" w:lineRule="auto"/>
        <w:rPr>
          <w:rFonts w:eastAsia="Times New Roman" w:cs="Arial"/>
          <w:b/>
          <w:bCs/>
          <w:szCs w:val="20"/>
          <w:lang w:eastAsia="en-GB"/>
        </w:rPr>
      </w:pPr>
      <w:r>
        <w:rPr>
          <w:rFonts w:eastAsia="Times New Roman" w:cs="Arial"/>
          <w:b/>
          <w:bCs/>
          <w:szCs w:val="20"/>
          <w:lang w:eastAsia="en-GB"/>
        </w:rPr>
        <w:t>December</w:t>
      </w:r>
      <w:r w:rsidR="00032751" w:rsidRPr="00953A7F">
        <w:rPr>
          <w:rFonts w:eastAsia="Times New Roman" w:cs="Arial"/>
          <w:b/>
          <w:bCs/>
          <w:szCs w:val="20"/>
          <w:lang w:eastAsia="en-GB"/>
        </w:rPr>
        <w:t xml:space="preserve"> 202</w:t>
      </w:r>
      <w:r w:rsidR="0054428D">
        <w:rPr>
          <w:rFonts w:eastAsia="Times New Roman" w:cs="Arial"/>
          <w:b/>
          <w:bCs/>
          <w:szCs w:val="20"/>
          <w:lang w:eastAsia="en-GB"/>
        </w:rPr>
        <w:t>5</w:t>
      </w:r>
    </w:p>
    <w:p w14:paraId="06B5F3D3" w14:textId="77777777" w:rsidR="004E4403" w:rsidRDefault="004E4403" w:rsidP="00461E31">
      <w:pPr>
        <w:spacing w:line="480" w:lineRule="auto"/>
        <w:rPr>
          <w:rFonts w:eastAsia="Times New Roman" w:cs="Arial"/>
          <w:b/>
          <w:bCs/>
          <w:szCs w:val="20"/>
          <w:lang w:eastAsia="en-GB"/>
        </w:rPr>
      </w:pPr>
    </w:p>
    <w:p w14:paraId="6ED43AF6" w14:textId="77777777" w:rsidR="004E4403" w:rsidRDefault="004E4403" w:rsidP="00461E31">
      <w:pPr>
        <w:spacing w:line="480" w:lineRule="auto"/>
        <w:rPr>
          <w:rFonts w:eastAsia="Times New Roman" w:cs="Arial"/>
          <w:b/>
          <w:bCs/>
          <w:szCs w:val="20"/>
          <w:lang w:eastAsia="en-GB"/>
        </w:rPr>
        <w:sectPr w:rsidR="004E4403" w:rsidSect="006C60D3">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9" w:footer="709" w:gutter="0"/>
          <w:cols w:space="708"/>
          <w:docGrid w:linePitch="360"/>
        </w:sectPr>
      </w:pPr>
    </w:p>
    <w:p w14:paraId="76E79E25" w14:textId="29A45E2F" w:rsidR="004E4403" w:rsidRDefault="004E4403" w:rsidP="0004284E">
      <w:pPr>
        <w:pStyle w:val="Heading1"/>
        <w:rPr>
          <w:lang w:eastAsia="en-GB"/>
        </w:rPr>
      </w:pPr>
      <w:r>
        <w:rPr>
          <w:lang w:eastAsia="en-GB"/>
        </w:rPr>
        <w:lastRenderedPageBreak/>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2234B" w14:paraId="7B54AC4B" w14:textId="77777777" w:rsidTr="0052234B">
        <w:tc>
          <w:tcPr>
            <w:tcW w:w="4508" w:type="dxa"/>
          </w:tcPr>
          <w:p w14:paraId="317EBC2B" w14:textId="77777777" w:rsidR="0052234B" w:rsidRDefault="0052234B" w:rsidP="00B31B67">
            <w:r>
              <w:t>AKT</w:t>
            </w:r>
          </w:p>
        </w:tc>
        <w:tc>
          <w:tcPr>
            <w:tcW w:w="4508" w:type="dxa"/>
          </w:tcPr>
          <w:p w14:paraId="66057B36" w14:textId="77777777" w:rsidR="0052234B" w:rsidRDefault="0052234B" w:rsidP="00B31B67">
            <w:r>
              <w:t>P</w:t>
            </w:r>
            <w:r w:rsidRPr="00914582">
              <w:t>rotein kinase</w:t>
            </w:r>
            <w:r>
              <w:t xml:space="preserve"> B</w:t>
            </w:r>
          </w:p>
        </w:tc>
      </w:tr>
      <w:tr w:rsidR="0052234B" w14:paraId="21B84600" w14:textId="77777777" w:rsidTr="0052234B">
        <w:tc>
          <w:tcPr>
            <w:tcW w:w="4508" w:type="dxa"/>
          </w:tcPr>
          <w:p w14:paraId="7A62A5BD" w14:textId="77777777" w:rsidR="0052234B" w:rsidRDefault="0052234B" w:rsidP="00B31B67">
            <w:r>
              <w:t>Anti-OVA</w:t>
            </w:r>
          </w:p>
        </w:tc>
        <w:tc>
          <w:tcPr>
            <w:tcW w:w="4508" w:type="dxa"/>
          </w:tcPr>
          <w:p w14:paraId="357D4476" w14:textId="77777777" w:rsidR="0052234B" w:rsidRDefault="0052234B" w:rsidP="00B31B67">
            <w:r>
              <w:t>Anti-ovalbumin</w:t>
            </w:r>
          </w:p>
        </w:tc>
      </w:tr>
      <w:tr w:rsidR="0052234B" w14:paraId="0C59AC48" w14:textId="77777777" w:rsidTr="0052234B">
        <w:tc>
          <w:tcPr>
            <w:tcW w:w="4508" w:type="dxa"/>
          </w:tcPr>
          <w:p w14:paraId="35622D64" w14:textId="77777777" w:rsidR="0052234B" w:rsidRDefault="0052234B" w:rsidP="00B31B67">
            <w:r>
              <w:t>AOP</w:t>
            </w:r>
          </w:p>
        </w:tc>
        <w:tc>
          <w:tcPr>
            <w:tcW w:w="4508" w:type="dxa"/>
          </w:tcPr>
          <w:p w14:paraId="1274226F" w14:textId="77777777" w:rsidR="0052234B" w:rsidRDefault="0052234B" w:rsidP="00B31B67">
            <w:r>
              <w:t>Adverse outcome pathway</w:t>
            </w:r>
          </w:p>
        </w:tc>
      </w:tr>
      <w:tr w:rsidR="0052234B" w14:paraId="0C3A1914" w14:textId="77777777" w:rsidTr="0052234B">
        <w:tc>
          <w:tcPr>
            <w:tcW w:w="4508" w:type="dxa"/>
          </w:tcPr>
          <w:p w14:paraId="67330339" w14:textId="77777777" w:rsidR="0052234B" w:rsidRDefault="0052234B" w:rsidP="00B31B67">
            <w:r>
              <w:t>APROBA</w:t>
            </w:r>
          </w:p>
        </w:tc>
        <w:tc>
          <w:tcPr>
            <w:tcW w:w="4508" w:type="dxa"/>
          </w:tcPr>
          <w:p w14:paraId="2B0F7CF9" w14:textId="77777777" w:rsidR="0052234B" w:rsidRDefault="0052234B" w:rsidP="00B31B67">
            <w:r>
              <w:t>A</w:t>
            </w:r>
            <w:r w:rsidRPr="000B12BD">
              <w:t>pproximate probabilistic analysis (tool)</w:t>
            </w:r>
          </w:p>
        </w:tc>
      </w:tr>
      <w:tr w:rsidR="0052234B" w14:paraId="581D7C01" w14:textId="77777777" w:rsidTr="0052234B">
        <w:tc>
          <w:tcPr>
            <w:tcW w:w="4508" w:type="dxa"/>
          </w:tcPr>
          <w:p w14:paraId="2BE0C5B8" w14:textId="77777777" w:rsidR="0052234B" w:rsidRDefault="0052234B" w:rsidP="00B31B67">
            <w:r>
              <w:t>BMD</w:t>
            </w:r>
          </w:p>
        </w:tc>
        <w:tc>
          <w:tcPr>
            <w:tcW w:w="4508" w:type="dxa"/>
          </w:tcPr>
          <w:p w14:paraId="690DF92F" w14:textId="77777777" w:rsidR="0052234B" w:rsidRDefault="0052234B" w:rsidP="00B31B67">
            <w:r>
              <w:t>Benchmark dose</w:t>
            </w:r>
          </w:p>
        </w:tc>
      </w:tr>
      <w:tr w:rsidR="0052234B" w14:paraId="6D7F596D" w14:textId="77777777" w:rsidTr="0052234B">
        <w:tc>
          <w:tcPr>
            <w:tcW w:w="4508" w:type="dxa"/>
          </w:tcPr>
          <w:p w14:paraId="7E2B1CD5" w14:textId="77777777" w:rsidR="0052234B" w:rsidRDefault="0052234B" w:rsidP="00B31B67">
            <w:r>
              <w:t>BMDL</w:t>
            </w:r>
          </w:p>
        </w:tc>
        <w:tc>
          <w:tcPr>
            <w:tcW w:w="4508" w:type="dxa"/>
          </w:tcPr>
          <w:p w14:paraId="56FE1BDA" w14:textId="77777777" w:rsidR="0052234B" w:rsidRDefault="0052234B" w:rsidP="00B31B67">
            <w:r>
              <w:t>Lower confidence level of the benchmark dose</w:t>
            </w:r>
          </w:p>
        </w:tc>
      </w:tr>
      <w:tr w:rsidR="0052234B" w14:paraId="1038361F" w14:textId="77777777" w:rsidTr="0052234B">
        <w:tc>
          <w:tcPr>
            <w:tcW w:w="4508" w:type="dxa"/>
          </w:tcPr>
          <w:p w14:paraId="4996A5A1" w14:textId="77777777" w:rsidR="0052234B" w:rsidRDefault="0052234B" w:rsidP="00B31B67">
            <w:r>
              <w:t>BMDR</w:t>
            </w:r>
          </w:p>
        </w:tc>
        <w:tc>
          <w:tcPr>
            <w:tcW w:w="4508" w:type="dxa"/>
          </w:tcPr>
          <w:p w14:paraId="335CF538" w14:textId="77777777" w:rsidR="0052234B" w:rsidRDefault="0052234B" w:rsidP="00B31B67">
            <w:r>
              <w:t>Benchmark dose response</w:t>
            </w:r>
          </w:p>
        </w:tc>
      </w:tr>
      <w:tr w:rsidR="0052234B" w14:paraId="514E46FC" w14:textId="77777777" w:rsidTr="0052234B">
        <w:tc>
          <w:tcPr>
            <w:tcW w:w="4508" w:type="dxa"/>
          </w:tcPr>
          <w:p w14:paraId="5780EF65" w14:textId="77777777" w:rsidR="0052234B" w:rsidRDefault="0052234B" w:rsidP="00B31B67">
            <w:r>
              <w:t>BPA</w:t>
            </w:r>
          </w:p>
        </w:tc>
        <w:tc>
          <w:tcPr>
            <w:tcW w:w="4508" w:type="dxa"/>
          </w:tcPr>
          <w:p w14:paraId="086CCF02" w14:textId="77777777" w:rsidR="0052234B" w:rsidRDefault="0052234B" w:rsidP="00B31B67">
            <w:r>
              <w:t>Bisphenol A</w:t>
            </w:r>
          </w:p>
        </w:tc>
      </w:tr>
      <w:tr w:rsidR="0052234B" w14:paraId="0F439126" w14:textId="77777777" w:rsidTr="0052234B">
        <w:tc>
          <w:tcPr>
            <w:tcW w:w="4508" w:type="dxa"/>
          </w:tcPr>
          <w:p w14:paraId="4306016C" w14:textId="77777777" w:rsidR="0052234B" w:rsidRDefault="0052234B" w:rsidP="00B31B67">
            <w:r>
              <w:t>BPS</w:t>
            </w:r>
          </w:p>
        </w:tc>
        <w:tc>
          <w:tcPr>
            <w:tcW w:w="4508" w:type="dxa"/>
          </w:tcPr>
          <w:p w14:paraId="587157D6" w14:textId="77777777" w:rsidR="0052234B" w:rsidRDefault="0052234B" w:rsidP="00B31B67">
            <w:r>
              <w:t>Bisphenol S</w:t>
            </w:r>
          </w:p>
        </w:tc>
      </w:tr>
      <w:tr w:rsidR="0052234B" w14:paraId="1D7A711A" w14:textId="77777777" w:rsidTr="0052234B">
        <w:tc>
          <w:tcPr>
            <w:tcW w:w="4508" w:type="dxa"/>
          </w:tcPr>
          <w:p w14:paraId="2E242191" w14:textId="77777777" w:rsidR="0052234B" w:rsidRDefault="0052234B" w:rsidP="00B31B67">
            <w:r>
              <w:t>bw</w:t>
            </w:r>
          </w:p>
        </w:tc>
        <w:tc>
          <w:tcPr>
            <w:tcW w:w="4508" w:type="dxa"/>
          </w:tcPr>
          <w:p w14:paraId="3B288B72" w14:textId="77777777" w:rsidR="0052234B" w:rsidRDefault="0052234B" w:rsidP="00B31B67">
            <w:r>
              <w:t>Bodyweight</w:t>
            </w:r>
          </w:p>
        </w:tc>
      </w:tr>
      <w:tr w:rsidR="0052234B" w14:paraId="789B12A6" w14:textId="77777777" w:rsidTr="0052234B">
        <w:tc>
          <w:tcPr>
            <w:tcW w:w="4508" w:type="dxa"/>
          </w:tcPr>
          <w:p w14:paraId="7D51C05E" w14:textId="77777777" w:rsidR="0052234B" w:rsidRDefault="0052234B" w:rsidP="00B31B67">
            <w:r>
              <w:t>DMA</w:t>
            </w:r>
          </w:p>
        </w:tc>
        <w:tc>
          <w:tcPr>
            <w:tcW w:w="4508" w:type="dxa"/>
          </w:tcPr>
          <w:p w14:paraId="444DD2C1" w14:textId="77777777" w:rsidR="0052234B" w:rsidRDefault="0052234B" w:rsidP="00B31B67">
            <w:r>
              <w:t>D</w:t>
            </w:r>
            <w:r w:rsidRPr="00914582">
              <w:t>imethacrylate</w:t>
            </w:r>
          </w:p>
        </w:tc>
      </w:tr>
      <w:tr w:rsidR="0052234B" w14:paraId="6288327B" w14:textId="77777777" w:rsidTr="0052234B">
        <w:tc>
          <w:tcPr>
            <w:tcW w:w="4508" w:type="dxa"/>
          </w:tcPr>
          <w:p w14:paraId="702750A7" w14:textId="77777777" w:rsidR="0052234B" w:rsidRDefault="0052234B" w:rsidP="00B31B67">
            <w:r>
              <w:t>DNA</w:t>
            </w:r>
          </w:p>
        </w:tc>
        <w:tc>
          <w:tcPr>
            <w:tcW w:w="4508" w:type="dxa"/>
          </w:tcPr>
          <w:p w14:paraId="2F4E1BAB" w14:textId="77777777" w:rsidR="0052234B" w:rsidRDefault="0052234B" w:rsidP="00B31B67">
            <w:r>
              <w:t>D</w:t>
            </w:r>
            <w:r w:rsidRPr="00914582">
              <w:t>eoxyribonucleic acid</w:t>
            </w:r>
          </w:p>
        </w:tc>
      </w:tr>
      <w:tr w:rsidR="00CB1549" w14:paraId="1233ECD4" w14:textId="77777777" w:rsidTr="0052234B">
        <w:tc>
          <w:tcPr>
            <w:tcW w:w="4508" w:type="dxa"/>
          </w:tcPr>
          <w:p w14:paraId="4DD15EDB" w14:textId="2B62FDDB" w:rsidR="00CB1549" w:rsidRDefault="00CB1549" w:rsidP="00B31B67">
            <w:r>
              <w:t>DNELs</w:t>
            </w:r>
          </w:p>
        </w:tc>
        <w:tc>
          <w:tcPr>
            <w:tcW w:w="4508" w:type="dxa"/>
          </w:tcPr>
          <w:p w14:paraId="7430E0FB" w14:textId="55EE9BCE" w:rsidR="00CB1549" w:rsidRDefault="00CB1549" w:rsidP="00B31B67">
            <w:r>
              <w:t>Derived no effect levels</w:t>
            </w:r>
          </w:p>
        </w:tc>
      </w:tr>
      <w:tr w:rsidR="0052234B" w14:paraId="092ADB94" w14:textId="77777777" w:rsidTr="0052234B">
        <w:tc>
          <w:tcPr>
            <w:tcW w:w="4508" w:type="dxa"/>
          </w:tcPr>
          <w:p w14:paraId="1E057DD7" w14:textId="77777777" w:rsidR="0052234B" w:rsidRDefault="0052234B" w:rsidP="00B31B67">
            <w:pPr>
              <w:tabs>
                <w:tab w:val="left" w:pos="1227"/>
              </w:tabs>
            </w:pPr>
            <w:r w:rsidRPr="00914582">
              <w:t>ERRɣ</w:t>
            </w:r>
          </w:p>
        </w:tc>
        <w:tc>
          <w:tcPr>
            <w:tcW w:w="4508" w:type="dxa"/>
          </w:tcPr>
          <w:p w14:paraId="53B95CD3" w14:textId="77777777" w:rsidR="0052234B" w:rsidRDefault="0052234B" w:rsidP="00B31B67">
            <w:r>
              <w:t>E</w:t>
            </w:r>
            <w:r w:rsidRPr="00914582">
              <w:t>strogen-related receptor gamma</w:t>
            </w:r>
          </w:p>
        </w:tc>
      </w:tr>
      <w:tr w:rsidR="0052234B" w14:paraId="39E6D9EF" w14:textId="77777777" w:rsidTr="0052234B">
        <w:tc>
          <w:tcPr>
            <w:tcW w:w="4508" w:type="dxa"/>
          </w:tcPr>
          <w:p w14:paraId="4C3676D6" w14:textId="77777777" w:rsidR="0052234B" w:rsidRDefault="0052234B" w:rsidP="00B31B67">
            <w:r>
              <w:t>FCM</w:t>
            </w:r>
          </w:p>
        </w:tc>
        <w:tc>
          <w:tcPr>
            <w:tcW w:w="4508" w:type="dxa"/>
          </w:tcPr>
          <w:p w14:paraId="6079C0D0" w14:textId="77777777" w:rsidR="0052234B" w:rsidRDefault="0052234B" w:rsidP="00B31B67">
            <w:r>
              <w:t>Food Contact Materials</w:t>
            </w:r>
          </w:p>
        </w:tc>
      </w:tr>
      <w:tr w:rsidR="0052234B" w14:paraId="517A662B" w14:textId="77777777" w:rsidTr="0052234B">
        <w:tc>
          <w:tcPr>
            <w:tcW w:w="4508" w:type="dxa"/>
          </w:tcPr>
          <w:p w14:paraId="68436EA7" w14:textId="77777777" w:rsidR="0052234B" w:rsidRDefault="0052234B" w:rsidP="00B31B67">
            <w:r>
              <w:t>GLP</w:t>
            </w:r>
          </w:p>
        </w:tc>
        <w:tc>
          <w:tcPr>
            <w:tcW w:w="4508" w:type="dxa"/>
          </w:tcPr>
          <w:p w14:paraId="7DF8EBC8" w14:textId="77777777" w:rsidR="0052234B" w:rsidRDefault="0052234B" w:rsidP="00B31B67">
            <w:r>
              <w:t xml:space="preserve">Good laboratory practise </w:t>
            </w:r>
          </w:p>
        </w:tc>
      </w:tr>
      <w:tr w:rsidR="0052234B" w14:paraId="0F057D69" w14:textId="77777777" w:rsidTr="0052234B">
        <w:tc>
          <w:tcPr>
            <w:tcW w:w="4508" w:type="dxa"/>
          </w:tcPr>
          <w:p w14:paraId="5FAE6C0A" w14:textId="77777777" w:rsidR="0052234B" w:rsidRDefault="0052234B" w:rsidP="00B31B67">
            <w:r>
              <w:t>HBGV</w:t>
            </w:r>
          </w:p>
        </w:tc>
        <w:tc>
          <w:tcPr>
            <w:tcW w:w="4508" w:type="dxa"/>
          </w:tcPr>
          <w:p w14:paraId="4173B577" w14:textId="77777777" w:rsidR="0052234B" w:rsidRDefault="0052234B" w:rsidP="00B31B67">
            <w:r>
              <w:t>Health based guidance value</w:t>
            </w:r>
          </w:p>
        </w:tc>
      </w:tr>
      <w:tr w:rsidR="0052234B" w14:paraId="62BC400B" w14:textId="77777777" w:rsidTr="0052234B">
        <w:tc>
          <w:tcPr>
            <w:tcW w:w="4508" w:type="dxa"/>
          </w:tcPr>
          <w:p w14:paraId="60A8DD30" w14:textId="77777777" w:rsidR="0052234B" w:rsidRDefault="0052234B" w:rsidP="00B31B67">
            <w:pPr>
              <w:tabs>
                <w:tab w:val="left" w:pos="1302"/>
              </w:tabs>
            </w:pPr>
            <w:r>
              <w:t>HED(F)</w:t>
            </w:r>
            <w:r>
              <w:tab/>
            </w:r>
          </w:p>
        </w:tc>
        <w:tc>
          <w:tcPr>
            <w:tcW w:w="4508" w:type="dxa"/>
          </w:tcPr>
          <w:p w14:paraId="493A758B" w14:textId="77777777" w:rsidR="0052234B" w:rsidRDefault="0052234B" w:rsidP="00B31B67">
            <w:r>
              <w:t>Human equivalent dose (factor)</w:t>
            </w:r>
          </w:p>
        </w:tc>
      </w:tr>
      <w:tr w:rsidR="0052234B" w14:paraId="3431357F" w14:textId="77777777" w:rsidTr="0052234B">
        <w:tc>
          <w:tcPr>
            <w:tcW w:w="4508" w:type="dxa"/>
          </w:tcPr>
          <w:p w14:paraId="6AF1CB12" w14:textId="77777777" w:rsidR="0052234B" w:rsidRDefault="0052234B" w:rsidP="00B31B67">
            <w:pPr>
              <w:tabs>
                <w:tab w:val="left" w:pos="1302"/>
              </w:tabs>
            </w:pPr>
            <w:r>
              <w:t>IFN-</w:t>
            </w:r>
            <w:r>
              <w:rPr>
                <w:rFonts w:cs="Arial"/>
              </w:rPr>
              <w:t>ɣ</w:t>
            </w:r>
          </w:p>
        </w:tc>
        <w:tc>
          <w:tcPr>
            <w:tcW w:w="4508" w:type="dxa"/>
          </w:tcPr>
          <w:p w14:paraId="59087304" w14:textId="77777777" w:rsidR="0052234B" w:rsidRDefault="0052234B" w:rsidP="00B31B67">
            <w:r>
              <w:t>Interferon gamma</w:t>
            </w:r>
          </w:p>
        </w:tc>
      </w:tr>
      <w:tr w:rsidR="0052234B" w14:paraId="0D6AEA17" w14:textId="77777777" w:rsidTr="0052234B">
        <w:tc>
          <w:tcPr>
            <w:tcW w:w="4508" w:type="dxa"/>
          </w:tcPr>
          <w:p w14:paraId="5EDE2931" w14:textId="77777777" w:rsidR="0052234B" w:rsidRDefault="0052234B" w:rsidP="00B31B67">
            <w:r>
              <w:t>IgA</w:t>
            </w:r>
          </w:p>
        </w:tc>
        <w:tc>
          <w:tcPr>
            <w:tcW w:w="4508" w:type="dxa"/>
          </w:tcPr>
          <w:p w14:paraId="0BDF37C3" w14:textId="77777777" w:rsidR="0052234B" w:rsidRDefault="0052234B" w:rsidP="00B31B67">
            <w:r>
              <w:t>Immunoglobulin A</w:t>
            </w:r>
          </w:p>
        </w:tc>
      </w:tr>
      <w:tr w:rsidR="0052234B" w14:paraId="0BC59FB0" w14:textId="77777777" w:rsidTr="0052234B">
        <w:tc>
          <w:tcPr>
            <w:tcW w:w="4508" w:type="dxa"/>
          </w:tcPr>
          <w:p w14:paraId="59A33B50" w14:textId="77777777" w:rsidR="0052234B" w:rsidRDefault="0052234B" w:rsidP="00B31B67">
            <w:r>
              <w:t>IL-17/21/6/23/4/3</w:t>
            </w:r>
          </w:p>
        </w:tc>
        <w:tc>
          <w:tcPr>
            <w:tcW w:w="4508" w:type="dxa"/>
          </w:tcPr>
          <w:p w14:paraId="6627466D" w14:textId="77777777" w:rsidR="0052234B" w:rsidRDefault="0052234B" w:rsidP="00B31B67">
            <w:r>
              <w:t>Interleukin-17/21/6/23/4/3</w:t>
            </w:r>
          </w:p>
        </w:tc>
      </w:tr>
      <w:tr w:rsidR="0052234B" w14:paraId="5A4A34DF" w14:textId="77777777" w:rsidTr="0052234B">
        <w:tc>
          <w:tcPr>
            <w:tcW w:w="4508" w:type="dxa"/>
          </w:tcPr>
          <w:p w14:paraId="378BDF7B" w14:textId="77777777" w:rsidR="0052234B" w:rsidRDefault="0052234B" w:rsidP="00B31B67">
            <w:r>
              <w:t>LOAEL</w:t>
            </w:r>
          </w:p>
        </w:tc>
        <w:tc>
          <w:tcPr>
            <w:tcW w:w="4508" w:type="dxa"/>
          </w:tcPr>
          <w:p w14:paraId="0C094289" w14:textId="77777777" w:rsidR="0052234B" w:rsidRDefault="0052234B" w:rsidP="00B31B67">
            <w:r>
              <w:t>Lowest observed adverse effect level</w:t>
            </w:r>
          </w:p>
        </w:tc>
      </w:tr>
      <w:tr w:rsidR="0052234B" w14:paraId="59A8ECD1" w14:textId="77777777" w:rsidTr="0052234B">
        <w:tc>
          <w:tcPr>
            <w:tcW w:w="4508" w:type="dxa"/>
          </w:tcPr>
          <w:p w14:paraId="6BDB2434" w14:textId="77777777" w:rsidR="0052234B" w:rsidRDefault="0052234B" w:rsidP="00B31B67">
            <w:r>
              <w:t>MLN</w:t>
            </w:r>
          </w:p>
        </w:tc>
        <w:tc>
          <w:tcPr>
            <w:tcW w:w="4508" w:type="dxa"/>
          </w:tcPr>
          <w:p w14:paraId="5108CCE2" w14:textId="77777777" w:rsidR="0052234B" w:rsidRDefault="0052234B" w:rsidP="00B31B67">
            <w:r>
              <w:t>M</w:t>
            </w:r>
            <w:r w:rsidRPr="005F3173">
              <w:t>esenteric lymph nodes</w:t>
            </w:r>
          </w:p>
        </w:tc>
      </w:tr>
      <w:tr w:rsidR="0052234B" w14:paraId="3EA8AAA0" w14:textId="77777777" w:rsidTr="0052234B">
        <w:tc>
          <w:tcPr>
            <w:tcW w:w="4508" w:type="dxa"/>
          </w:tcPr>
          <w:p w14:paraId="4091EB49" w14:textId="77777777" w:rsidR="0052234B" w:rsidRDefault="0052234B" w:rsidP="00B31B67">
            <w:r>
              <w:t>MoA</w:t>
            </w:r>
          </w:p>
        </w:tc>
        <w:tc>
          <w:tcPr>
            <w:tcW w:w="4508" w:type="dxa"/>
          </w:tcPr>
          <w:p w14:paraId="38FC35CC" w14:textId="77777777" w:rsidR="0052234B" w:rsidRDefault="0052234B" w:rsidP="00B31B67">
            <w:r>
              <w:t>Mode of action</w:t>
            </w:r>
          </w:p>
        </w:tc>
      </w:tr>
      <w:tr w:rsidR="0052234B" w14:paraId="60A1BE0F" w14:textId="77777777" w:rsidTr="0052234B">
        <w:tc>
          <w:tcPr>
            <w:tcW w:w="4508" w:type="dxa"/>
          </w:tcPr>
          <w:p w14:paraId="67A69BF5" w14:textId="77777777" w:rsidR="0052234B" w:rsidRDefault="0052234B" w:rsidP="00B31B67">
            <w:r>
              <w:t>NOAEL</w:t>
            </w:r>
          </w:p>
        </w:tc>
        <w:tc>
          <w:tcPr>
            <w:tcW w:w="4508" w:type="dxa"/>
          </w:tcPr>
          <w:p w14:paraId="7DB9EC0E" w14:textId="77777777" w:rsidR="0052234B" w:rsidRDefault="0052234B" w:rsidP="00B31B67">
            <w:r>
              <w:t>No observed adverse effect level</w:t>
            </w:r>
          </w:p>
        </w:tc>
      </w:tr>
      <w:tr w:rsidR="004866B5" w14:paraId="5DAAF9CA" w14:textId="77777777" w:rsidTr="0052234B">
        <w:tc>
          <w:tcPr>
            <w:tcW w:w="4508" w:type="dxa"/>
          </w:tcPr>
          <w:p w14:paraId="041256B9" w14:textId="129F75C8" w:rsidR="004866B5" w:rsidRDefault="004866B5" w:rsidP="00B31B67">
            <w:r>
              <w:t>OEL</w:t>
            </w:r>
          </w:p>
        </w:tc>
        <w:tc>
          <w:tcPr>
            <w:tcW w:w="4508" w:type="dxa"/>
          </w:tcPr>
          <w:p w14:paraId="4E95A36A" w14:textId="2C672578" w:rsidR="004866B5" w:rsidRDefault="004866B5" w:rsidP="00B31B67">
            <w:r>
              <w:t>Occupational exposure limit</w:t>
            </w:r>
          </w:p>
        </w:tc>
      </w:tr>
      <w:tr w:rsidR="0052234B" w14:paraId="5BD38114" w14:textId="77777777" w:rsidTr="0052234B">
        <w:tc>
          <w:tcPr>
            <w:tcW w:w="4508" w:type="dxa"/>
          </w:tcPr>
          <w:p w14:paraId="380531B9" w14:textId="77777777" w:rsidR="0052234B" w:rsidRDefault="0052234B" w:rsidP="00B31B67">
            <w:pPr>
              <w:tabs>
                <w:tab w:val="left" w:pos="964"/>
              </w:tabs>
            </w:pPr>
            <w:r>
              <w:t>PC</w:t>
            </w:r>
            <w:r>
              <w:tab/>
            </w:r>
          </w:p>
        </w:tc>
        <w:tc>
          <w:tcPr>
            <w:tcW w:w="4508" w:type="dxa"/>
          </w:tcPr>
          <w:p w14:paraId="3A514BBE" w14:textId="77777777" w:rsidR="0052234B" w:rsidRDefault="0052234B" w:rsidP="00B31B67">
            <w:r>
              <w:t>Polycarbonates</w:t>
            </w:r>
          </w:p>
        </w:tc>
      </w:tr>
      <w:tr w:rsidR="0052234B" w14:paraId="1DA48F80" w14:textId="77777777" w:rsidTr="0052234B">
        <w:tc>
          <w:tcPr>
            <w:tcW w:w="4508" w:type="dxa"/>
          </w:tcPr>
          <w:p w14:paraId="5C0BB9ED" w14:textId="77777777" w:rsidR="0052234B" w:rsidRDefault="0052234B" w:rsidP="00B31B67">
            <w:pPr>
              <w:tabs>
                <w:tab w:val="left" w:pos="964"/>
              </w:tabs>
            </w:pPr>
            <w:r>
              <w:t>PI3K</w:t>
            </w:r>
          </w:p>
        </w:tc>
        <w:tc>
          <w:tcPr>
            <w:tcW w:w="4508" w:type="dxa"/>
          </w:tcPr>
          <w:p w14:paraId="48E894E2" w14:textId="77777777" w:rsidR="0052234B" w:rsidRDefault="0052234B" w:rsidP="00B31B67">
            <w:r>
              <w:t>P</w:t>
            </w:r>
            <w:r w:rsidRPr="00914582">
              <w:t>hosphatidylinositol 3-kinase</w:t>
            </w:r>
          </w:p>
        </w:tc>
      </w:tr>
      <w:tr w:rsidR="0052234B" w14:paraId="3BA8B43B" w14:textId="77777777" w:rsidTr="0052234B">
        <w:tc>
          <w:tcPr>
            <w:tcW w:w="4508" w:type="dxa"/>
          </w:tcPr>
          <w:p w14:paraId="4D21DC78" w14:textId="77777777" w:rsidR="0052234B" w:rsidRDefault="0052234B" w:rsidP="00B31B67">
            <w:r>
              <w:t>POD</w:t>
            </w:r>
          </w:p>
        </w:tc>
        <w:tc>
          <w:tcPr>
            <w:tcW w:w="4508" w:type="dxa"/>
          </w:tcPr>
          <w:p w14:paraId="2713BF90" w14:textId="77777777" w:rsidR="0052234B" w:rsidRDefault="0052234B" w:rsidP="00B31B67">
            <w:r>
              <w:t>Point of departure</w:t>
            </w:r>
          </w:p>
        </w:tc>
      </w:tr>
      <w:tr w:rsidR="0052234B" w14:paraId="21F3DB19" w14:textId="77777777" w:rsidTr="0052234B">
        <w:tc>
          <w:tcPr>
            <w:tcW w:w="4508" w:type="dxa"/>
          </w:tcPr>
          <w:p w14:paraId="521708C2" w14:textId="77777777" w:rsidR="0052234B" w:rsidRDefault="0052234B" w:rsidP="00B31B67">
            <w:r>
              <w:t>RP</w:t>
            </w:r>
          </w:p>
        </w:tc>
        <w:tc>
          <w:tcPr>
            <w:tcW w:w="4508" w:type="dxa"/>
          </w:tcPr>
          <w:p w14:paraId="58B7E5B3" w14:textId="77777777" w:rsidR="0052234B" w:rsidRDefault="0052234B" w:rsidP="00B31B67">
            <w:r>
              <w:t>Reference point</w:t>
            </w:r>
          </w:p>
        </w:tc>
      </w:tr>
      <w:tr w:rsidR="0052234B" w14:paraId="5138696F" w14:textId="77777777" w:rsidTr="0052234B">
        <w:tc>
          <w:tcPr>
            <w:tcW w:w="4508" w:type="dxa"/>
          </w:tcPr>
          <w:p w14:paraId="2329041B" w14:textId="77777777" w:rsidR="0052234B" w:rsidRDefault="0052234B" w:rsidP="00B31B67">
            <w:r>
              <w:t>SLE</w:t>
            </w:r>
          </w:p>
        </w:tc>
        <w:tc>
          <w:tcPr>
            <w:tcW w:w="4508" w:type="dxa"/>
          </w:tcPr>
          <w:p w14:paraId="778F5839" w14:textId="77777777" w:rsidR="0052234B" w:rsidRDefault="0052234B" w:rsidP="00B31B67">
            <w:r>
              <w:t>S</w:t>
            </w:r>
            <w:r w:rsidRPr="005F3173">
              <w:t>ystemic lupus erythematosus</w:t>
            </w:r>
          </w:p>
        </w:tc>
      </w:tr>
      <w:tr w:rsidR="0052234B" w14:paraId="7184B740" w14:textId="77777777" w:rsidTr="0052234B">
        <w:tc>
          <w:tcPr>
            <w:tcW w:w="4508" w:type="dxa"/>
          </w:tcPr>
          <w:p w14:paraId="7C31A25C" w14:textId="77777777" w:rsidR="0052234B" w:rsidRDefault="0052234B" w:rsidP="00B31B67">
            <w:r>
              <w:t>SML</w:t>
            </w:r>
          </w:p>
        </w:tc>
        <w:tc>
          <w:tcPr>
            <w:tcW w:w="4508" w:type="dxa"/>
          </w:tcPr>
          <w:p w14:paraId="172E97DD" w14:textId="77777777" w:rsidR="0052234B" w:rsidRDefault="0052234B" w:rsidP="00B31B67">
            <w:r>
              <w:t>Specific migration limit</w:t>
            </w:r>
          </w:p>
        </w:tc>
      </w:tr>
      <w:tr w:rsidR="0052234B" w14:paraId="0B378F8A" w14:textId="77777777" w:rsidTr="0052234B">
        <w:tc>
          <w:tcPr>
            <w:tcW w:w="4508" w:type="dxa"/>
          </w:tcPr>
          <w:p w14:paraId="0B76F469" w14:textId="77777777" w:rsidR="0052234B" w:rsidRDefault="0052234B" w:rsidP="00B31B67">
            <w:r>
              <w:t>t-TDI</w:t>
            </w:r>
          </w:p>
        </w:tc>
        <w:tc>
          <w:tcPr>
            <w:tcW w:w="4508" w:type="dxa"/>
          </w:tcPr>
          <w:p w14:paraId="6D8B11D2" w14:textId="77777777" w:rsidR="0052234B" w:rsidRDefault="0052234B" w:rsidP="00B31B67">
            <w:r>
              <w:t>Temporary tolerable daily intake</w:t>
            </w:r>
          </w:p>
        </w:tc>
      </w:tr>
      <w:tr w:rsidR="0052234B" w14:paraId="6C9CEF94" w14:textId="77777777" w:rsidTr="0052234B">
        <w:tc>
          <w:tcPr>
            <w:tcW w:w="4508" w:type="dxa"/>
          </w:tcPr>
          <w:p w14:paraId="6D8A6A7C" w14:textId="77777777" w:rsidR="0052234B" w:rsidRDefault="0052234B" w:rsidP="00B31B67">
            <w:r>
              <w:t>TNF-</w:t>
            </w:r>
            <w:r>
              <w:rPr>
                <w:rFonts w:cs="Arial"/>
              </w:rPr>
              <w:t>α</w:t>
            </w:r>
          </w:p>
        </w:tc>
        <w:tc>
          <w:tcPr>
            <w:tcW w:w="4508" w:type="dxa"/>
          </w:tcPr>
          <w:p w14:paraId="72241094" w14:textId="77777777" w:rsidR="0052234B" w:rsidRDefault="0052234B" w:rsidP="00B31B67">
            <w:r>
              <w:t>Tumour necrosis factor alpha</w:t>
            </w:r>
          </w:p>
        </w:tc>
      </w:tr>
      <w:tr w:rsidR="0052234B" w14:paraId="041D1447" w14:textId="77777777" w:rsidTr="0052234B">
        <w:tc>
          <w:tcPr>
            <w:tcW w:w="4508" w:type="dxa"/>
          </w:tcPr>
          <w:p w14:paraId="5B9FFDAB" w14:textId="77777777" w:rsidR="0052234B" w:rsidRDefault="0052234B" w:rsidP="00B31B67">
            <w:r>
              <w:t>UF</w:t>
            </w:r>
          </w:p>
        </w:tc>
        <w:tc>
          <w:tcPr>
            <w:tcW w:w="4508" w:type="dxa"/>
          </w:tcPr>
          <w:p w14:paraId="23D38188" w14:textId="77777777" w:rsidR="0052234B" w:rsidRDefault="0052234B" w:rsidP="00B31B67">
            <w:r>
              <w:t>Uncertainty factor</w:t>
            </w:r>
          </w:p>
        </w:tc>
      </w:tr>
      <w:tr w:rsidR="0052234B" w14:paraId="66D05215" w14:textId="77777777" w:rsidTr="0052234B">
        <w:tc>
          <w:tcPr>
            <w:tcW w:w="4508" w:type="dxa"/>
          </w:tcPr>
          <w:p w14:paraId="6A9FA169" w14:textId="77777777" w:rsidR="0052234B" w:rsidRDefault="0052234B" w:rsidP="00B31B67">
            <w:r>
              <w:t>WoE</w:t>
            </w:r>
          </w:p>
        </w:tc>
        <w:tc>
          <w:tcPr>
            <w:tcW w:w="4508" w:type="dxa"/>
          </w:tcPr>
          <w:p w14:paraId="09002D23" w14:textId="77777777" w:rsidR="0052234B" w:rsidRDefault="0052234B" w:rsidP="00B31B67">
            <w:r>
              <w:t>Weight of evidence</w:t>
            </w:r>
          </w:p>
        </w:tc>
      </w:tr>
      <w:tr w:rsidR="0052234B" w14:paraId="07CCCE37" w14:textId="77777777" w:rsidTr="0052234B">
        <w:tc>
          <w:tcPr>
            <w:tcW w:w="4508" w:type="dxa"/>
          </w:tcPr>
          <w:p w14:paraId="60E9DC93" w14:textId="77777777" w:rsidR="0052234B" w:rsidRDefault="0052234B" w:rsidP="00B31B67"/>
        </w:tc>
        <w:tc>
          <w:tcPr>
            <w:tcW w:w="4508" w:type="dxa"/>
          </w:tcPr>
          <w:p w14:paraId="06BFD14B" w14:textId="77777777" w:rsidR="0052234B" w:rsidRDefault="0052234B" w:rsidP="00B31B67"/>
        </w:tc>
      </w:tr>
      <w:tr w:rsidR="0052234B" w14:paraId="4B2C3E3E" w14:textId="77777777" w:rsidTr="0052234B">
        <w:tc>
          <w:tcPr>
            <w:tcW w:w="4508" w:type="dxa"/>
          </w:tcPr>
          <w:p w14:paraId="570FCEA6" w14:textId="77777777" w:rsidR="0052234B" w:rsidRDefault="0052234B" w:rsidP="00B31B67">
            <w:r>
              <w:t>BfR</w:t>
            </w:r>
          </w:p>
        </w:tc>
        <w:tc>
          <w:tcPr>
            <w:tcW w:w="4508" w:type="dxa"/>
          </w:tcPr>
          <w:p w14:paraId="147798C3" w14:textId="77777777" w:rsidR="0052234B" w:rsidRDefault="0052234B" w:rsidP="00B31B67">
            <w:r>
              <w:t>German Federal Institute for Risk Assessment</w:t>
            </w:r>
          </w:p>
        </w:tc>
      </w:tr>
      <w:tr w:rsidR="0052234B" w14:paraId="7A509F69" w14:textId="77777777" w:rsidTr="0052234B">
        <w:tc>
          <w:tcPr>
            <w:tcW w:w="4508" w:type="dxa"/>
          </w:tcPr>
          <w:p w14:paraId="7B5C9C59" w14:textId="77777777" w:rsidR="0052234B" w:rsidRDefault="0052234B" w:rsidP="00B31B67">
            <w:r>
              <w:t>CEP</w:t>
            </w:r>
          </w:p>
        </w:tc>
        <w:tc>
          <w:tcPr>
            <w:tcW w:w="4508" w:type="dxa"/>
          </w:tcPr>
          <w:p w14:paraId="2AE6FBA4" w14:textId="77777777" w:rsidR="0052234B" w:rsidRDefault="0052234B" w:rsidP="00B31B67">
            <w:r>
              <w:t>EFSA Panel on Food Contact Materials, Enzymes and Processing Aids</w:t>
            </w:r>
          </w:p>
        </w:tc>
      </w:tr>
      <w:tr w:rsidR="0052234B" w14:paraId="2817298C" w14:textId="77777777" w:rsidTr="0052234B">
        <w:tc>
          <w:tcPr>
            <w:tcW w:w="4508" w:type="dxa"/>
          </w:tcPr>
          <w:p w14:paraId="02008160" w14:textId="77777777" w:rsidR="0052234B" w:rsidRDefault="0052234B" w:rsidP="00B31B67">
            <w:r>
              <w:t>COT</w:t>
            </w:r>
          </w:p>
        </w:tc>
        <w:tc>
          <w:tcPr>
            <w:tcW w:w="4508" w:type="dxa"/>
          </w:tcPr>
          <w:p w14:paraId="686FE7A9" w14:textId="77777777" w:rsidR="0052234B" w:rsidRDefault="0052234B" w:rsidP="00B31B67">
            <w:r w:rsidRPr="0041508E">
              <w:t>Committee on Toxicity of Chemicals in Food, Consumer Products and the Environment</w:t>
            </w:r>
          </w:p>
        </w:tc>
      </w:tr>
      <w:tr w:rsidR="0052234B" w14:paraId="2B50F00C" w14:textId="77777777" w:rsidTr="0052234B">
        <w:tc>
          <w:tcPr>
            <w:tcW w:w="4508" w:type="dxa"/>
          </w:tcPr>
          <w:p w14:paraId="1BA1A09A" w14:textId="77777777" w:rsidR="0052234B" w:rsidRDefault="0052234B" w:rsidP="00B31B67">
            <w:r>
              <w:t>EC</w:t>
            </w:r>
          </w:p>
        </w:tc>
        <w:tc>
          <w:tcPr>
            <w:tcW w:w="4508" w:type="dxa"/>
          </w:tcPr>
          <w:p w14:paraId="229AE507" w14:textId="77777777" w:rsidR="0052234B" w:rsidRDefault="0052234B" w:rsidP="00B31B67">
            <w:r>
              <w:t>European Commission</w:t>
            </w:r>
          </w:p>
        </w:tc>
      </w:tr>
      <w:tr w:rsidR="0052234B" w14:paraId="234CC610" w14:textId="77777777" w:rsidTr="0052234B">
        <w:tc>
          <w:tcPr>
            <w:tcW w:w="4508" w:type="dxa"/>
          </w:tcPr>
          <w:p w14:paraId="5B15C02B" w14:textId="77777777" w:rsidR="0052234B" w:rsidRDefault="0052234B" w:rsidP="00B31B67">
            <w:r>
              <w:t>ECHA</w:t>
            </w:r>
          </w:p>
        </w:tc>
        <w:tc>
          <w:tcPr>
            <w:tcW w:w="4508" w:type="dxa"/>
          </w:tcPr>
          <w:p w14:paraId="6C7A1A38" w14:textId="77777777" w:rsidR="0052234B" w:rsidRDefault="0052234B" w:rsidP="00B31B67">
            <w:r>
              <w:t>European Chemicals Agency</w:t>
            </w:r>
          </w:p>
        </w:tc>
      </w:tr>
      <w:tr w:rsidR="0052234B" w14:paraId="0C60499F" w14:textId="77777777" w:rsidTr="0052234B">
        <w:tc>
          <w:tcPr>
            <w:tcW w:w="4508" w:type="dxa"/>
          </w:tcPr>
          <w:p w14:paraId="5357270F" w14:textId="77777777" w:rsidR="0052234B" w:rsidRDefault="0052234B" w:rsidP="00B31B67">
            <w:r>
              <w:t>EFSA</w:t>
            </w:r>
          </w:p>
        </w:tc>
        <w:tc>
          <w:tcPr>
            <w:tcW w:w="4508" w:type="dxa"/>
          </w:tcPr>
          <w:p w14:paraId="51823CB8" w14:textId="77777777" w:rsidR="0052234B" w:rsidRDefault="0052234B" w:rsidP="00B31B67">
            <w:pPr>
              <w:tabs>
                <w:tab w:val="right" w:pos="4292"/>
              </w:tabs>
            </w:pPr>
            <w:r>
              <w:t>European Food Safety Authority</w:t>
            </w:r>
            <w:r>
              <w:tab/>
            </w:r>
          </w:p>
        </w:tc>
      </w:tr>
      <w:tr w:rsidR="0052234B" w14:paraId="15F2DCD9" w14:textId="77777777" w:rsidTr="0052234B">
        <w:tc>
          <w:tcPr>
            <w:tcW w:w="4508" w:type="dxa"/>
          </w:tcPr>
          <w:p w14:paraId="64F50604" w14:textId="77777777" w:rsidR="0052234B" w:rsidRDefault="0052234B" w:rsidP="00B31B67">
            <w:r>
              <w:lastRenderedPageBreak/>
              <w:t>EFSA CEP Panel</w:t>
            </w:r>
          </w:p>
        </w:tc>
        <w:tc>
          <w:tcPr>
            <w:tcW w:w="4508" w:type="dxa"/>
          </w:tcPr>
          <w:p w14:paraId="26F4BC91" w14:textId="77777777" w:rsidR="0052234B" w:rsidRDefault="0052234B" w:rsidP="00B31B67">
            <w:pPr>
              <w:tabs>
                <w:tab w:val="right" w:pos="4292"/>
              </w:tabs>
            </w:pPr>
            <w:r>
              <w:t>EFSA’s Panel on Food Contact Materials, Enzymes and Processing Aids</w:t>
            </w:r>
          </w:p>
        </w:tc>
      </w:tr>
      <w:tr w:rsidR="0052234B" w14:paraId="1E83643F" w14:textId="77777777" w:rsidTr="0052234B">
        <w:tc>
          <w:tcPr>
            <w:tcW w:w="4508" w:type="dxa"/>
          </w:tcPr>
          <w:p w14:paraId="210F1FF7" w14:textId="77777777" w:rsidR="0052234B" w:rsidRDefault="0052234B" w:rsidP="00B31B67">
            <w:r>
              <w:t>EMA</w:t>
            </w:r>
          </w:p>
        </w:tc>
        <w:tc>
          <w:tcPr>
            <w:tcW w:w="4508" w:type="dxa"/>
          </w:tcPr>
          <w:p w14:paraId="5C4A03DF" w14:textId="77777777" w:rsidR="0052234B" w:rsidRDefault="0052234B" w:rsidP="00B31B67">
            <w:pPr>
              <w:tabs>
                <w:tab w:val="right" w:pos="4292"/>
              </w:tabs>
            </w:pPr>
            <w:r>
              <w:t>European Medical Agency</w:t>
            </w:r>
          </w:p>
        </w:tc>
      </w:tr>
      <w:tr w:rsidR="0052234B" w14:paraId="6C916D91" w14:textId="77777777" w:rsidTr="0052234B">
        <w:tc>
          <w:tcPr>
            <w:tcW w:w="4508" w:type="dxa"/>
          </w:tcPr>
          <w:p w14:paraId="31A97D62" w14:textId="77777777" w:rsidR="0052234B" w:rsidRDefault="0052234B" w:rsidP="00B31B67">
            <w:r>
              <w:t>EU</w:t>
            </w:r>
          </w:p>
        </w:tc>
        <w:tc>
          <w:tcPr>
            <w:tcW w:w="4508" w:type="dxa"/>
          </w:tcPr>
          <w:p w14:paraId="4E3BF0CB" w14:textId="77777777" w:rsidR="0052234B" w:rsidRDefault="0052234B" w:rsidP="00B31B67">
            <w:r>
              <w:t>European Union</w:t>
            </w:r>
          </w:p>
        </w:tc>
      </w:tr>
      <w:tr w:rsidR="0052234B" w14:paraId="2AA111B5" w14:textId="77777777" w:rsidTr="0052234B">
        <w:tc>
          <w:tcPr>
            <w:tcW w:w="4508" w:type="dxa"/>
          </w:tcPr>
          <w:p w14:paraId="22253B01" w14:textId="77777777" w:rsidR="0052234B" w:rsidRDefault="0052234B" w:rsidP="00B31B67">
            <w:r>
              <w:t>FDA</w:t>
            </w:r>
          </w:p>
        </w:tc>
        <w:tc>
          <w:tcPr>
            <w:tcW w:w="4508" w:type="dxa"/>
          </w:tcPr>
          <w:p w14:paraId="09555B6D" w14:textId="7B3082C5" w:rsidR="0052234B" w:rsidRDefault="0052234B" w:rsidP="00B31B67">
            <w:r>
              <w:t>U</w:t>
            </w:r>
            <w:r w:rsidR="00090658">
              <w:t xml:space="preserve">nited </w:t>
            </w:r>
            <w:r>
              <w:t>S</w:t>
            </w:r>
            <w:r w:rsidR="00090658">
              <w:t>tates</w:t>
            </w:r>
            <w:r>
              <w:t xml:space="preserve"> Food and Drug Administration</w:t>
            </w:r>
          </w:p>
        </w:tc>
      </w:tr>
      <w:tr w:rsidR="0052234B" w14:paraId="2973EABD" w14:textId="77777777" w:rsidTr="0052234B">
        <w:tc>
          <w:tcPr>
            <w:tcW w:w="4508" w:type="dxa"/>
          </w:tcPr>
          <w:p w14:paraId="00310D92" w14:textId="77777777" w:rsidR="0052234B" w:rsidRDefault="0052234B" w:rsidP="00B31B67">
            <w:r>
              <w:t>IPCS</w:t>
            </w:r>
          </w:p>
        </w:tc>
        <w:tc>
          <w:tcPr>
            <w:tcW w:w="4508" w:type="dxa"/>
          </w:tcPr>
          <w:p w14:paraId="74E25215" w14:textId="77777777" w:rsidR="0052234B" w:rsidRDefault="0052234B" w:rsidP="00B31B67">
            <w:r w:rsidRPr="000B12BD">
              <w:t>International Programme on Chemical Safety</w:t>
            </w:r>
          </w:p>
        </w:tc>
      </w:tr>
      <w:tr w:rsidR="0052234B" w14:paraId="242ED9DF" w14:textId="77777777" w:rsidTr="0052234B">
        <w:tc>
          <w:tcPr>
            <w:tcW w:w="4508" w:type="dxa"/>
          </w:tcPr>
          <w:p w14:paraId="5F01274E" w14:textId="77777777" w:rsidR="0052234B" w:rsidRDefault="0052234B" w:rsidP="00B31B67">
            <w:r>
              <w:t>OECD</w:t>
            </w:r>
          </w:p>
        </w:tc>
        <w:tc>
          <w:tcPr>
            <w:tcW w:w="4508" w:type="dxa"/>
          </w:tcPr>
          <w:p w14:paraId="4A4DC296" w14:textId="77777777" w:rsidR="0052234B" w:rsidRPr="000B12BD" w:rsidRDefault="0052234B" w:rsidP="00B31B67">
            <w:r w:rsidRPr="005F3173">
              <w:t>Organisation for Economic Co-operation and Development</w:t>
            </w:r>
          </w:p>
        </w:tc>
      </w:tr>
      <w:tr w:rsidR="0052234B" w14:paraId="2440EA7D" w14:textId="77777777" w:rsidTr="0052234B">
        <w:tc>
          <w:tcPr>
            <w:tcW w:w="4508" w:type="dxa"/>
          </w:tcPr>
          <w:p w14:paraId="346910A3" w14:textId="77777777" w:rsidR="0052234B" w:rsidRDefault="0052234B" w:rsidP="00B31B67">
            <w:r>
              <w:t>UK</w:t>
            </w:r>
          </w:p>
        </w:tc>
        <w:tc>
          <w:tcPr>
            <w:tcW w:w="4508" w:type="dxa"/>
          </w:tcPr>
          <w:p w14:paraId="3DB001C6" w14:textId="77777777" w:rsidR="0052234B" w:rsidRDefault="0052234B" w:rsidP="00B31B67">
            <w:r>
              <w:t>United Kingdom</w:t>
            </w:r>
          </w:p>
        </w:tc>
      </w:tr>
      <w:tr w:rsidR="0052234B" w14:paraId="34AED655" w14:textId="77777777" w:rsidTr="0052234B">
        <w:tc>
          <w:tcPr>
            <w:tcW w:w="4508" w:type="dxa"/>
          </w:tcPr>
          <w:p w14:paraId="697083EA" w14:textId="77777777" w:rsidR="0052234B" w:rsidRDefault="0052234B" w:rsidP="00B31B67">
            <w:r>
              <w:t>WHO</w:t>
            </w:r>
          </w:p>
        </w:tc>
        <w:tc>
          <w:tcPr>
            <w:tcW w:w="4508" w:type="dxa"/>
          </w:tcPr>
          <w:p w14:paraId="1C81A54A" w14:textId="77777777" w:rsidR="0052234B" w:rsidRDefault="0052234B" w:rsidP="00B31B67">
            <w:r>
              <w:t>World Health Organisation</w:t>
            </w:r>
          </w:p>
        </w:tc>
      </w:tr>
    </w:tbl>
    <w:p w14:paraId="76D304D4" w14:textId="77777777" w:rsidR="0052234B" w:rsidRDefault="0052234B" w:rsidP="00461E31">
      <w:pPr>
        <w:spacing w:line="480" w:lineRule="auto"/>
        <w:rPr>
          <w:rFonts w:eastAsia="Times New Roman" w:cs="Arial"/>
          <w:b/>
          <w:bCs/>
          <w:szCs w:val="20"/>
          <w:lang w:eastAsia="en-GB"/>
        </w:rPr>
        <w:sectPr w:rsidR="0052234B" w:rsidSect="006C60D3">
          <w:pgSz w:w="11906" w:h="16838"/>
          <w:pgMar w:top="1440" w:right="1440" w:bottom="1440" w:left="1440" w:header="709" w:footer="709" w:gutter="0"/>
          <w:cols w:space="708"/>
          <w:docGrid w:linePitch="360"/>
        </w:sectPr>
      </w:pPr>
    </w:p>
    <w:p w14:paraId="63EE5251" w14:textId="6BAFEC9B" w:rsidR="004E4403" w:rsidRDefault="004E4403" w:rsidP="0004284E">
      <w:pPr>
        <w:pStyle w:val="Heading1"/>
        <w:rPr>
          <w:lang w:eastAsia="en-GB"/>
        </w:rPr>
      </w:pPr>
      <w:r>
        <w:rPr>
          <w:lang w:eastAsia="en-GB"/>
        </w:rPr>
        <w:lastRenderedPageBreak/>
        <w:t>References</w:t>
      </w:r>
    </w:p>
    <w:p w14:paraId="16BEF617" w14:textId="77777777" w:rsidR="0004284E" w:rsidRPr="0004284E" w:rsidRDefault="0004284E" w:rsidP="0004284E">
      <w:pPr>
        <w:rPr>
          <w:lang w:eastAsia="en-GB"/>
        </w:rPr>
      </w:pPr>
    </w:p>
    <w:p w14:paraId="01C4289E" w14:textId="77777777" w:rsidR="00B31B67" w:rsidRDefault="00B31B67" w:rsidP="00B31B67">
      <w:r>
        <w:t>BfR (2023). Bisphenol A: BfR proposes new health based guidance value, current exposure data are needed for a full risk assessment. BfR Opinion No 018/2023</w:t>
      </w:r>
    </w:p>
    <w:p w14:paraId="5D56E49A" w14:textId="77777777" w:rsidR="00B31B67" w:rsidRDefault="00B31B67" w:rsidP="00B31B67">
      <w:hyperlink r:id="rId51" w:history="1">
        <w:r w:rsidRPr="001420B0">
          <w:rPr>
            <w:rStyle w:val="Hyperlink"/>
          </w:rPr>
          <w:t>https://doi.org/10.17590/20230419-114234-0</w:t>
        </w:r>
      </w:hyperlink>
      <w:r>
        <w:t xml:space="preserve"> </w:t>
      </w:r>
    </w:p>
    <w:p w14:paraId="698CD26B" w14:textId="77777777" w:rsidR="00B31B67" w:rsidRDefault="00B31B67" w:rsidP="00B31B67">
      <w:r>
        <w:t xml:space="preserve">Bodin J, Bolling Ak, Becher R, Kuper F, Lovik M, Nygaard UC (2014). Transmaternal bisphenol A exposure accelerates diabetes type 1 development in NOD mice. Toxicological Science, 137(2), 311-323. </w:t>
      </w:r>
    </w:p>
    <w:p w14:paraId="5A7147FC" w14:textId="77777777" w:rsidR="00B31B67" w:rsidRDefault="00B31B67" w:rsidP="00B31B67">
      <w:hyperlink r:id="rId52" w:history="1">
        <w:r w:rsidRPr="001420B0">
          <w:rPr>
            <w:rStyle w:val="Hyperlink"/>
          </w:rPr>
          <w:t>https://doi.org/10.1093/toxsci/kft242</w:t>
        </w:r>
      </w:hyperlink>
      <w:r>
        <w:t xml:space="preserve"> </w:t>
      </w:r>
    </w:p>
    <w:p w14:paraId="1A89FF1F" w14:textId="77777777" w:rsidR="00E90304" w:rsidRDefault="00B31B67" w:rsidP="00A36F83">
      <w:r w:rsidRPr="00E83FC0">
        <w:t>Camacho</w:t>
      </w:r>
      <w:r w:rsidR="00A36F83" w:rsidRPr="00E83FC0">
        <w:t xml:space="preserve"> L, </w:t>
      </w:r>
      <w:r w:rsidR="00A36F83">
        <w:t xml:space="preserve">Lewis SM, Vanlandingham MM, Olson GR, Davis KJ, Patton RE, Twaddle NC, Doerge DR, Churchwell MI, Bryant MS, McLellen FM, Woodling KA, Felton RP, Maisha MP, Juliar BE, Gamboa da Costa G, Delclos KB (2019). A two-year toxicology study of bisphenol A (BPA) in Sprague-Dawley rats: CLARITY-BPA core study results. Food </w:t>
      </w:r>
      <w:r w:rsidR="009977DC">
        <w:t xml:space="preserve">and </w:t>
      </w:r>
      <w:r w:rsidR="00A36F83">
        <w:t>Chem</w:t>
      </w:r>
      <w:r w:rsidR="00480D18">
        <w:t>ical</w:t>
      </w:r>
      <w:r w:rsidR="00A36F83">
        <w:t xml:space="preserve"> Toxicol</w:t>
      </w:r>
      <w:r w:rsidR="00480D18">
        <w:t>ogy</w:t>
      </w:r>
      <w:r w:rsidR="009977DC">
        <w:t>,</w:t>
      </w:r>
      <w:r w:rsidR="00A36F83">
        <w:t xml:space="preserve"> 132</w:t>
      </w:r>
      <w:r w:rsidR="00E90304">
        <w:t xml:space="preserve">, </w:t>
      </w:r>
      <w:r w:rsidR="00A36F83">
        <w:t>110728</w:t>
      </w:r>
      <w:r w:rsidRPr="00E90304">
        <w:t>.</w:t>
      </w:r>
    </w:p>
    <w:p w14:paraId="5128017D" w14:textId="5F90D0C0" w:rsidR="00A36F83" w:rsidRDefault="00E90304" w:rsidP="00A36F83">
      <w:hyperlink r:id="rId53" w:history="1">
        <w:r w:rsidRPr="002664B4">
          <w:rPr>
            <w:rStyle w:val="Hyperlink"/>
          </w:rPr>
          <w:t>https://doi.org/10.1016/j.fct.2019.110728</w:t>
        </w:r>
      </w:hyperlink>
      <w:r>
        <w:t xml:space="preserve"> </w:t>
      </w:r>
    </w:p>
    <w:p w14:paraId="1C9B95FA" w14:textId="77777777" w:rsidR="00B31B67" w:rsidRDefault="00B31B67" w:rsidP="00B31B67">
      <w:r>
        <w:t xml:space="preserve">COT (2024). Position paper on bisphenol A. </w:t>
      </w:r>
    </w:p>
    <w:p w14:paraId="17D554F7" w14:textId="77777777" w:rsidR="00B31B67" w:rsidRDefault="00B31B67" w:rsidP="00B31B67">
      <w:hyperlink r:id="rId54" w:history="1">
        <w:r w:rsidRPr="001420B0">
          <w:rPr>
            <w:rStyle w:val="Hyperlink"/>
          </w:rPr>
          <w:t>https://doi.org/10.46756/sci.fsa.sjl259</w:t>
        </w:r>
      </w:hyperlink>
      <w:r>
        <w:t xml:space="preserve"> </w:t>
      </w:r>
    </w:p>
    <w:p w14:paraId="6E294398" w14:textId="77777777" w:rsidR="00B31B67" w:rsidRDefault="00B31B67" w:rsidP="00B31B67">
      <w:r>
        <w:t>Darmani H and Alkhatib MMA (2024). Non-monotonic effects of bisphenol A dimethacrylate on male mouse reproductive system and fertility leads to impaired conceptive performance. Toxicology Mechanisms and Methods, 34(3), 262-270.</w:t>
      </w:r>
    </w:p>
    <w:p w14:paraId="40132371" w14:textId="77777777" w:rsidR="00B31B67" w:rsidRDefault="00B31B67" w:rsidP="00B31B67">
      <w:hyperlink r:id="rId55" w:history="1">
        <w:r w:rsidRPr="001420B0">
          <w:rPr>
            <w:rStyle w:val="Hyperlink"/>
          </w:rPr>
          <w:t>https://doi.org/10.1080/15376516.2023.2279723</w:t>
        </w:r>
      </w:hyperlink>
      <w:r>
        <w:t xml:space="preserve"> </w:t>
      </w:r>
    </w:p>
    <w:p w14:paraId="39437E64" w14:textId="1C66624E" w:rsidR="00B31B67" w:rsidRDefault="00B31B67" w:rsidP="00312521">
      <w:r w:rsidRPr="00E83FC0">
        <w:t>Dere</w:t>
      </w:r>
      <w:r w:rsidR="00312521" w:rsidRPr="00E83FC0">
        <w:t xml:space="preserve"> E, </w:t>
      </w:r>
      <w:r w:rsidR="00312521">
        <w:t>Anderson LM, Huse SM, Spade DJ, McDonnell-Clark E, Madnick SJ, Hall SJ, Camacho L, Lewis SM, Vanlandingham MM, Boekelheide K</w:t>
      </w:r>
      <w:r w:rsidR="00666AE9">
        <w:t xml:space="preserve"> (2018)</w:t>
      </w:r>
      <w:r w:rsidR="00312521">
        <w:t>. Effects of continuous bisphenol A exposure from early gestation on 90 day old rat testes function and sperm molecular profiles: A CLARITY-BPA consortium study. Toxicol</w:t>
      </w:r>
      <w:r w:rsidR="007C4A05">
        <w:t>ogy and</w:t>
      </w:r>
      <w:r w:rsidR="00312521">
        <w:t xml:space="preserve"> Appl</w:t>
      </w:r>
      <w:r w:rsidR="007C4A05">
        <w:t>ied</w:t>
      </w:r>
      <w:r w:rsidR="00312521">
        <w:t xml:space="preserve"> Pharmacol</w:t>
      </w:r>
      <w:r w:rsidR="007C4A05">
        <w:t>ogy</w:t>
      </w:r>
      <w:r w:rsidR="00312521">
        <w:t>, 347</w:t>
      </w:r>
      <w:r w:rsidR="00B41E64">
        <w:t xml:space="preserve">, </w:t>
      </w:r>
      <w:r w:rsidR="00312521">
        <w:t>1-9.</w:t>
      </w:r>
    </w:p>
    <w:p w14:paraId="2FDAFA17" w14:textId="13660A76" w:rsidR="00B41E64" w:rsidRDefault="00B41E64" w:rsidP="00312521">
      <w:hyperlink r:id="rId56" w:history="1">
        <w:r w:rsidRPr="002664B4">
          <w:rPr>
            <w:rStyle w:val="Hyperlink"/>
          </w:rPr>
          <w:t>https://doi.org/10.1016/j.taap.2018.03.021</w:t>
        </w:r>
      </w:hyperlink>
      <w:r>
        <w:t xml:space="preserve"> </w:t>
      </w:r>
    </w:p>
    <w:p w14:paraId="6D54A216" w14:textId="77777777" w:rsidR="00B31B67" w:rsidRDefault="00B31B67" w:rsidP="00B31B67">
      <w:r>
        <w:t>Dong Y, Gao L, Sun Q, Jia L, Liu D (2023).</w:t>
      </w:r>
      <w:r w:rsidRPr="008B29F1">
        <w:t xml:space="preserve"> Increased levels of IL-17 and autoantibodies following Bisphenol A exposure were associated with activation of PI3K/AKT/mTOR pathway and abnormal autophagy in MRL/lpr mice</w:t>
      </w:r>
      <w:r>
        <w:t xml:space="preserve">. Ecotoxicology and Environmental Safety, 255, 114788. </w:t>
      </w:r>
    </w:p>
    <w:p w14:paraId="62DB0513" w14:textId="77777777" w:rsidR="00B31B67" w:rsidRDefault="00B31B67" w:rsidP="00B31B67">
      <w:hyperlink r:id="rId57" w:history="1">
        <w:r w:rsidRPr="001420B0">
          <w:rPr>
            <w:rStyle w:val="Hyperlink"/>
          </w:rPr>
          <w:t>https://doi.org/10.1016/j.ecoenv.2023.114788</w:t>
        </w:r>
      </w:hyperlink>
      <w:r>
        <w:t xml:space="preserve"> </w:t>
      </w:r>
    </w:p>
    <w:p w14:paraId="075E9714" w14:textId="77777777" w:rsidR="00B31B67" w:rsidRDefault="00B31B67" w:rsidP="00B31B67">
      <w:r>
        <w:t>EFSA (2015). Scientific Opinion on the risk to public health related to the presence of bisphenol A (BPA) in foodstuffs. EFSA Journal, 13(1), 3978.</w:t>
      </w:r>
    </w:p>
    <w:p w14:paraId="52D68054" w14:textId="77777777" w:rsidR="00B31B67" w:rsidRDefault="00B31B67" w:rsidP="00B31B67">
      <w:hyperlink r:id="rId58" w:history="1">
        <w:r w:rsidRPr="001420B0">
          <w:rPr>
            <w:rStyle w:val="Hyperlink"/>
          </w:rPr>
          <w:t>http://www.efsa.europa.eu/efsajournal</w:t>
        </w:r>
      </w:hyperlink>
      <w:r>
        <w:t xml:space="preserve"> </w:t>
      </w:r>
    </w:p>
    <w:p w14:paraId="0A05FAD9" w14:textId="77777777" w:rsidR="00B31B67" w:rsidRDefault="00B31B67" w:rsidP="00B31B67">
      <w:r>
        <w:t>EFSA and BfR (2023). Report on diverging views between EFSA and BfR on EFSA’s updated bisphenol A assessment.</w:t>
      </w:r>
    </w:p>
    <w:p w14:paraId="227512A0" w14:textId="77777777" w:rsidR="00B31B67" w:rsidRDefault="00B31B67" w:rsidP="00B31B67">
      <w:hyperlink r:id="rId59" w:history="1">
        <w:r w:rsidRPr="001420B0">
          <w:rPr>
            <w:rStyle w:val="Hyperlink"/>
          </w:rPr>
          <w:t>https://www.efsa.europa.eu/sites/default/files/2023-04/bfr-efsa-art-30.pdf</w:t>
        </w:r>
      </w:hyperlink>
      <w:r>
        <w:t xml:space="preserve"> </w:t>
      </w:r>
    </w:p>
    <w:p w14:paraId="00585C05" w14:textId="77777777" w:rsidR="00B31B67" w:rsidRDefault="00B31B67" w:rsidP="00B31B67">
      <w:r>
        <w:t>EFSA and EMA (2023). Report on divergent views between EFSA and EMA on EFSA’s updated bisphenol A assessment.</w:t>
      </w:r>
    </w:p>
    <w:p w14:paraId="58CEE1C3" w14:textId="77777777" w:rsidR="00B31B67" w:rsidRDefault="00B31B67" w:rsidP="00B31B67">
      <w:hyperlink r:id="rId60" w:history="1">
        <w:r w:rsidRPr="001420B0">
          <w:rPr>
            <w:rStyle w:val="Hyperlink"/>
          </w:rPr>
          <w:t>https://www.efsa.europa.eu/sites/default/files/2023-04/ema-efsa-article-30.pdf</w:t>
        </w:r>
      </w:hyperlink>
      <w:r>
        <w:t xml:space="preserve"> </w:t>
      </w:r>
    </w:p>
    <w:p w14:paraId="13B7EDA8" w14:textId="77777777" w:rsidR="00B31B67" w:rsidRDefault="00B31B67" w:rsidP="00B31B67">
      <w:r>
        <w:t>EFSA (2024). Re-evaluation of the risk to public health related to the presence of bisphenol A (BPA) in foodstuffs. EFSA Journal, 21(4), 6857, 392 pp.</w:t>
      </w:r>
    </w:p>
    <w:p w14:paraId="1224F28B" w14:textId="77777777" w:rsidR="00B31B67" w:rsidRDefault="00B31B67" w:rsidP="00B31B67">
      <w:hyperlink r:id="rId61" w:history="1">
        <w:r w:rsidRPr="001420B0">
          <w:rPr>
            <w:rStyle w:val="Hyperlink"/>
          </w:rPr>
          <w:t>https://doi.org/10.2903/j.efsa.2023.6857</w:t>
        </w:r>
      </w:hyperlink>
      <w:r>
        <w:t xml:space="preserve"> </w:t>
      </w:r>
    </w:p>
    <w:p w14:paraId="5BC91BDF" w14:textId="3415ED47" w:rsidR="00B33DCE" w:rsidRDefault="005579C7" w:rsidP="00B31B67">
      <w:r>
        <w:t>FDA (1966).</w:t>
      </w:r>
      <w:r w:rsidRPr="005579C7">
        <w:t xml:space="preserve"> </w:t>
      </w:r>
      <w:r>
        <w:t>Guidelines for reproduction studies for safety evaluation of drugs for human use. Washington, Department of Health, Education and Welfare.</w:t>
      </w:r>
      <w:r w:rsidR="00E95593">
        <w:t xml:space="preserve"> Referenced in</w:t>
      </w:r>
      <w:r w:rsidR="004A1C62">
        <w:t xml:space="preserve">: </w:t>
      </w:r>
      <w:r w:rsidR="00731AEE">
        <w:t xml:space="preserve">Raheja KL, Jordan A, </w:t>
      </w:r>
      <w:r w:rsidR="00D666E3">
        <w:t>Fourcroy JL</w:t>
      </w:r>
      <w:r w:rsidR="00B33DCE">
        <w:t xml:space="preserve"> (1988). </w:t>
      </w:r>
      <w:r w:rsidR="00FD29D3" w:rsidRPr="00FD29D3">
        <w:t>Food and drug administration guidelines for reproductive toxicity testing</w:t>
      </w:r>
      <w:r w:rsidR="00FD29D3">
        <w:t xml:space="preserve">. </w:t>
      </w:r>
      <w:r w:rsidR="00853F92">
        <w:t xml:space="preserve">Reproductive Toxicology, 2(3-4), </w:t>
      </w:r>
      <w:r w:rsidR="00731AEE">
        <w:t>291-293.</w:t>
      </w:r>
    </w:p>
    <w:p w14:paraId="087C9F4C" w14:textId="0E8F2B16" w:rsidR="00731AEE" w:rsidRDefault="00731AEE" w:rsidP="00B31B67">
      <w:hyperlink r:id="rId62" w:history="1">
        <w:r w:rsidRPr="00F51045">
          <w:rPr>
            <w:rStyle w:val="Hyperlink"/>
          </w:rPr>
          <w:t>https://doi.org/10.1016/0890-6238(88)90034-2</w:t>
        </w:r>
      </w:hyperlink>
      <w:r>
        <w:t xml:space="preserve"> </w:t>
      </w:r>
    </w:p>
    <w:p w14:paraId="7B0BDA82" w14:textId="54DDCB32" w:rsidR="005A35B5" w:rsidRDefault="005A35B5" w:rsidP="00B31B67">
      <w:r w:rsidRPr="00AD75C6">
        <w:t>FDA</w:t>
      </w:r>
      <w:r w:rsidR="00C469C1" w:rsidRPr="00AD75C6">
        <w:t xml:space="preserve"> (2014). Updated</w:t>
      </w:r>
      <w:r w:rsidR="00C469C1" w:rsidRPr="00C469C1">
        <w:t xml:space="preserve"> safety assessment of Bisphenol A (BPA) for use in food contact applications.</w:t>
      </w:r>
      <w:r w:rsidR="006D3AC3">
        <w:t xml:space="preserve"> </w:t>
      </w:r>
    </w:p>
    <w:p w14:paraId="772A6516" w14:textId="30836ED6" w:rsidR="0016276D" w:rsidRDefault="0016276D" w:rsidP="00B31B67">
      <w:pPr>
        <w:rPr>
          <w:highlight w:val="yellow"/>
        </w:rPr>
      </w:pPr>
      <w:hyperlink r:id="rId63" w:history="1">
        <w:r w:rsidRPr="005A29FB">
          <w:rPr>
            <w:rStyle w:val="Hyperlink"/>
          </w:rPr>
          <w:t>https://www.fda.gov/media/90124/download</w:t>
        </w:r>
      </w:hyperlink>
      <w:r>
        <w:t xml:space="preserve"> </w:t>
      </w:r>
    </w:p>
    <w:p w14:paraId="2493DD8D" w14:textId="4B6CAD04" w:rsidR="00200A55" w:rsidRDefault="00200A55" w:rsidP="007E41E8">
      <w:r>
        <w:t xml:space="preserve">FDA (2021). </w:t>
      </w:r>
      <w:r w:rsidR="004C7D4E">
        <w:t xml:space="preserve">S5(R3) Detection of </w:t>
      </w:r>
      <w:r w:rsidR="00A876A6">
        <w:t>r</w:t>
      </w:r>
      <w:r w:rsidR="004C7D4E">
        <w:t xml:space="preserve">eproductive and </w:t>
      </w:r>
      <w:r w:rsidR="00A876A6">
        <w:t>d</w:t>
      </w:r>
      <w:r w:rsidR="004C7D4E">
        <w:t xml:space="preserve">evelopmental </w:t>
      </w:r>
      <w:r w:rsidR="00A876A6">
        <w:t>t</w:t>
      </w:r>
      <w:r w:rsidR="004C7D4E">
        <w:t xml:space="preserve">oxicity for </w:t>
      </w:r>
      <w:r w:rsidR="00A876A6">
        <w:t>h</w:t>
      </w:r>
      <w:r w:rsidR="004C7D4E">
        <w:t xml:space="preserve">uman </w:t>
      </w:r>
      <w:r w:rsidR="00A876A6">
        <w:t>p</w:t>
      </w:r>
      <w:r w:rsidR="004C7D4E">
        <w:t>harmaceuticals</w:t>
      </w:r>
      <w:r w:rsidR="00A876A6">
        <w:t>.</w:t>
      </w:r>
      <w:r w:rsidR="004C7D4E">
        <w:t xml:space="preserve"> Guidance for </w:t>
      </w:r>
      <w:r w:rsidR="00A876A6">
        <w:t>i</w:t>
      </w:r>
      <w:r w:rsidR="004C7D4E">
        <w:t>ndustry.</w:t>
      </w:r>
      <w:r w:rsidR="007E41E8">
        <w:t xml:space="preserve"> The International Council for Harmonisation of Technical Requirements for Pharmaceuticals for Human Use (ICH). </w:t>
      </w:r>
    </w:p>
    <w:p w14:paraId="73FA37D9" w14:textId="7E50BC07" w:rsidR="007E41E8" w:rsidRDefault="007E41E8" w:rsidP="007E41E8">
      <w:hyperlink r:id="rId64" w:history="1">
        <w:r w:rsidRPr="00F51045">
          <w:rPr>
            <w:rStyle w:val="Hyperlink"/>
          </w:rPr>
          <w:t>https://www.fda.gov/media/148475/download</w:t>
        </w:r>
      </w:hyperlink>
      <w:r>
        <w:t xml:space="preserve"> </w:t>
      </w:r>
    </w:p>
    <w:p w14:paraId="2E796DED" w14:textId="6A539BFB" w:rsidR="00B31B67" w:rsidRDefault="00B31B67" w:rsidP="00B31B67">
      <w:r w:rsidRPr="00F110C1">
        <w:t>FDA (2024).</w:t>
      </w:r>
      <w:r w:rsidR="00E71012" w:rsidRPr="00F110C1">
        <w:t xml:space="preserve"> </w:t>
      </w:r>
      <w:r w:rsidR="00C207C8" w:rsidRPr="00C207C8">
        <w:t>Memorandum on the request for consultation on bisphenol A (BPA). (unpublished)</w:t>
      </w:r>
    </w:p>
    <w:p w14:paraId="037AF61E" w14:textId="77777777" w:rsidR="00B31B67" w:rsidRDefault="00B31B67" w:rsidP="00B31B67">
      <w:r w:rsidRPr="00976BCC">
        <w:t xml:space="preserve">Gonzalez-Gomez M, Reyes R, Damas-Hernández </w:t>
      </w:r>
      <w:r>
        <w:t>Md</w:t>
      </w:r>
      <w:r w:rsidRPr="00976BCC">
        <w:t>C,</w:t>
      </w:r>
      <w:r>
        <w:t xml:space="preserve"> Plasencia-Cruz X, González-Marrero I, Alonso R, Bello AR (2023).</w:t>
      </w:r>
      <w:r w:rsidRPr="00161331">
        <w:t xml:space="preserve"> </w:t>
      </w:r>
      <w:r>
        <w:t>NTS, NTSR1 and ERs in the pituitary-gonadal axis of cycling and postnatal female rats after BPA treatment. International Journal of Molecular Science, 24, 7418</w:t>
      </w:r>
    </w:p>
    <w:p w14:paraId="1F408849" w14:textId="77777777" w:rsidR="00B31B67" w:rsidRDefault="00B31B67" w:rsidP="00B31B67">
      <w:hyperlink r:id="rId65" w:history="1">
        <w:r w:rsidRPr="001420B0">
          <w:rPr>
            <w:rStyle w:val="Hyperlink"/>
          </w:rPr>
          <w:t>https://doi.org/10.3390/ijms24087418</w:t>
        </w:r>
      </w:hyperlink>
      <w:r>
        <w:t xml:space="preserve"> </w:t>
      </w:r>
    </w:p>
    <w:p w14:paraId="09B91285" w14:textId="77777777" w:rsidR="00B31B67" w:rsidRDefault="00B31B67" w:rsidP="00B31B67">
      <w:r>
        <w:t>Gu HJ, Kim DY, Shin SH, Rahman MdS, Lee H-S, Pang M-G, Kim J-M, Ryu B-Y (2024).</w:t>
      </w:r>
      <w:r w:rsidRPr="00296601">
        <w:t xml:space="preserve"> Genome-wide transcriptome analysis reveals that Bisphenol A activates immune responses in skeletal muscle</w:t>
      </w:r>
      <w:r>
        <w:t>. Environmental Research, 252(3), 119034.</w:t>
      </w:r>
    </w:p>
    <w:p w14:paraId="1C081C0F" w14:textId="77777777" w:rsidR="00B31B67" w:rsidRDefault="00B31B67" w:rsidP="00B31B67">
      <w:hyperlink r:id="rId66" w:history="1">
        <w:r w:rsidRPr="001420B0">
          <w:rPr>
            <w:rStyle w:val="Hyperlink"/>
          </w:rPr>
          <w:t>https://doi.org/10.1016/j.envres.2024.119034</w:t>
        </w:r>
      </w:hyperlink>
      <w:r>
        <w:t xml:space="preserve"> </w:t>
      </w:r>
    </w:p>
    <w:p w14:paraId="7E293793" w14:textId="77777777" w:rsidR="00B31B67" w:rsidRDefault="00B31B67" w:rsidP="00B31B67">
      <w:r>
        <w:t xml:space="preserve">Holmboe S, Scheutz Henriksen L, Frederiksen H, Andersson A-M, Priskorn L, Jorgsen N, Juul A, Toppari J, Skakkabaek NE, Main KM (2022). Prenatal exposure to phenols and benzophenols in relation to markers of male reproductive function in adulthood. </w:t>
      </w:r>
      <w:r w:rsidRPr="00140137">
        <w:t xml:space="preserve">Frontiers in Endocrinology, </w:t>
      </w:r>
      <w:r>
        <w:t>13.</w:t>
      </w:r>
    </w:p>
    <w:p w14:paraId="0E45F13A" w14:textId="77777777" w:rsidR="00B31B67" w:rsidRPr="00140137" w:rsidRDefault="00B31B67" w:rsidP="00B31B67">
      <w:hyperlink r:id="rId67" w:history="1">
        <w:r w:rsidRPr="001420B0">
          <w:rPr>
            <w:rStyle w:val="Hyperlink"/>
          </w:rPr>
          <w:t>https://doi.org/10.3389/fendo.2022.1071761</w:t>
        </w:r>
      </w:hyperlink>
      <w:r>
        <w:t xml:space="preserve"> </w:t>
      </w:r>
    </w:p>
    <w:p w14:paraId="2C43E40F" w14:textId="77777777" w:rsidR="00B31B67" w:rsidRDefault="00B31B67" w:rsidP="00B31B67">
      <w:r w:rsidRPr="00140137">
        <w:lastRenderedPageBreak/>
        <w:t xml:space="preserve">Hwang M, Park S-J, LeeH-J (2023). </w:t>
      </w:r>
      <w:r>
        <w:t>Risk assessment of bisphenol A in the Korean general population. Applied Science, 13, 3587.</w:t>
      </w:r>
    </w:p>
    <w:p w14:paraId="4390F0CF" w14:textId="77777777" w:rsidR="00B31B67" w:rsidRDefault="00B31B67" w:rsidP="00B31B67">
      <w:hyperlink r:id="rId68" w:history="1">
        <w:r w:rsidRPr="001420B0">
          <w:rPr>
            <w:rStyle w:val="Hyperlink"/>
          </w:rPr>
          <w:t>https://doi.org/10.3390/app13063587</w:t>
        </w:r>
      </w:hyperlink>
      <w:r>
        <w:t xml:space="preserve"> </w:t>
      </w:r>
    </w:p>
    <w:p w14:paraId="61448A2A" w14:textId="422B6A59" w:rsidR="00464B54" w:rsidRDefault="00464B54" w:rsidP="00B31B67">
      <w:r>
        <w:t xml:space="preserve">IPCS (2001). </w:t>
      </w:r>
      <w:r w:rsidR="007E00AF" w:rsidRPr="007E00AF">
        <w:t xml:space="preserve">Principles </w:t>
      </w:r>
      <w:r w:rsidR="007E00AF">
        <w:t>f</w:t>
      </w:r>
      <w:r w:rsidR="007E00AF" w:rsidRPr="007E00AF">
        <w:t xml:space="preserve">or </w:t>
      </w:r>
      <w:r w:rsidR="007E00AF">
        <w:t>e</w:t>
      </w:r>
      <w:r w:rsidR="007E00AF" w:rsidRPr="007E00AF">
        <w:t xml:space="preserve">valuating </w:t>
      </w:r>
      <w:r w:rsidR="007E00AF">
        <w:t>h</w:t>
      </w:r>
      <w:r w:rsidR="007E00AF" w:rsidRPr="007E00AF">
        <w:t xml:space="preserve">ealth </w:t>
      </w:r>
      <w:r w:rsidR="007E00AF">
        <w:t>r</w:t>
      </w:r>
      <w:r w:rsidR="007E00AF" w:rsidRPr="007E00AF">
        <w:t xml:space="preserve">isks </w:t>
      </w:r>
      <w:r w:rsidR="007E00AF">
        <w:t>t</w:t>
      </w:r>
      <w:r w:rsidR="007E00AF" w:rsidRPr="007E00AF">
        <w:t xml:space="preserve">o </w:t>
      </w:r>
      <w:r w:rsidR="007E00AF">
        <w:t>r</w:t>
      </w:r>
      <w:r w:rsidR="007E00AF" w:rsidRPr="007E00AF">
        <w:t xml:space="preserve">eproduction </w:t>
      </w:r>
      <w:r w:rsidR="007E00AF">
        <w:t>a</w:t>
      </w:r>
      <w:r w:rsidR="007E00AF" w:rsidRPr="007E00AF">
        <w:t xml:space="preserve">ssociated </w:t>
      </w:r>
      <w:r w:rsidR="007E00AF">
        <w:t>w</w:t>
      </w:r>
      <w:r w:rsidR="007E00AF" w:rsidRPr="007E00AF">
        <w:t xml:space="preserve">ith </w:t>
      </w:r>
      <w:r w:rsidR="007E00AF">
        <w:t>e</w:t>
      </w:r>
      <w:r w:rsidR="007E00AF" w:rsidRPr="007E00AF">
        <w:t xml:space="preserve">xposure </w:t>
      </w:r>
      <w:r w:rsidR="007E00AF">
        <w:t>t</w:t>
      </w:r>
      <w:r w:rsidR="007E00AF" w:rsidRPr="007E00AF">
        <w:t xml:space="preserve">o </w:t>
      </w:r>
      <w:r w:rsidR="007E00AF">
        <w:t>c</w:t>
      </w:r>
      <w:r w:rsidR="007E00AF" w:rsidRPr="007E00AF">
        <w:t>hemicals</w:t>
      </w:r>
      <w:r w:rsidR="007E00AF">
        <w:t xml:space="preserve">. </w:t>
      </w:r>
      <w:r w:rsidR="00591572" w:rsidRPr="00591572">
        <w:t>Environmental Health Criteria</w:t>
      </w:r>
      <w:r w:rsidR="00591572">
        <w:t>,</w:t>
      </w:r>
      <w:r w:rsidR="00591572" w:rsidRPr="00591572">
        <w:t xml:space="preserve"> 225</w:t>
      </w:r>
      <w:r w:rsidR="00591572">
        <w:t>.</w:t>
      </w:r>
    </w:p>
    <w:p w14:paraId="6EBE6BC4" w14:textId="602DC42E" w:rsidR="00591572" w:rsidRDefault="00591572" w:rsidP="00B31B67">
      <w:hyperlink r:id="rId69" w:history="1">
        <w:r w:rsidRPr="00F51045">
          <w:rPr>
            <w:rStyle w:val="Hyperlink"/>
          </w:rPr>
          <w:t>https://www.inchem.org/documents/ehc/ehc/ehc225.htm</w:t>
        </w:r>
      </w:hyperlink>
      <w:r>
        <w:t xml:space="preserve"> </w:t>
      </w:r>
    </w:p>
    <w:p w14:paraId="2A731B7A" w14:textId="6C74D6BE" w:rsidR="00B31B67" w:rsidRDefault="00B31B67" w:rsidP="00B31B67">
      <w:r w:rsidRPr="0054783A">
        <w:t>Jeseta M, Kalina J, Franzova K,</w:t>
      </w:r>
      <w:r>
        <w:t xml:space="preserve"> Fialkova S, Hosek J, Mekinova L,  Crha I, Kempisty B, Ventruba P, Navratilova J (2024).</w:t>
      </w:r>
      <w:r w:rsidRPr="00A00429">
        <w:t xml:space="preserve"> Cross sectional study on exposure to BPA and its analogues and semen parameters in Czech men</w:t>
      </w:r>
      <w:r>
        <w:t>. Environmental Pollution, 345, 123445.</w:t>
      </w:r>
    </w:p>
    <w:p w14:paraId="1CF1EED7" w14:textId="77777777" w:rsidR="00B31B67" w:rsidRDefault="00B31B67" w:rsidP="00B31B67">
      <w:hyperlink r:id="rId70" w:history="1">
        <w:r w:rsidRPr="001420B0">
          <w:rPr>
            <w:rStyle w:val="Hyperlink"/>
          </w:rPr>
          <w:t>https://doi.org/10.1016/j.envpol.2024.123445</w:t>
        </w:r>
      </w:hyperlink>
      <w:r>
        <w:t xml:space="preserve"> </w:t>
      </w:r>
    </w:p>
    <w:p w14:paraId="08646794" w14:textId="77777777" w:rsidR="00B31B67" w:rsidRDefault="00B31B67" w:rsidP="00B31B67">
      <w:r>
        <w:t>Kortenkamp A, Martin O, Ermler S, Baig A, Scholze M (2022).</w:t>
      </w:r>
      <w:r w:rsidRPr="00AD3100">
        <w:t xml:space="preserve"> Bisphenol A and declining semen quality: A systematic review to support the derivation of a reference dose for mixture risk assessments</w:t>
      </w:r>
      <w:r>
        <w:t>. International Journal of Hygine and Environmental Health, 241, 113942.</w:t>
      </w:r>
    </w:p>
    <w:p w14:paraId="0EE65875" w14:textId="77777777" w:rsidR="00B31B67" w:rsidRDefault="00B31B67" w:rsidP="00B31B67">
      <w:hyperlink r:id="rId71" w:history="1">
        <w:r w:rsidRPr="001420B0">
          <w:rPr>
            <w:rStyle w:val="Hyperlink"/>
          </w:rPr>
          <w:t>https://doi.org/10.1016/j.ijheh.2022.113942</w:t>
        </w:r>
      </w:hyperlink>
      <w:r>
        <w:t xml:space="preserve"> </w:t>
      </w:r>
    </w:p>
    <w:p w14:paraId="35DC431E" w14:textId="77777777" w:rsidR="00B31B67" w:rsidRDefault="00B31B67" w:rsidP="00B31B67">
      <w:r>
        <w:t>Liu C, Duan W, Li R, Xu S, Zhang L, Chen C, He M, Lu Y, Wu H, Pi H, Luo X, Zhang Y, Zohong M, Yu Z, Zhou Z (2013).</w:t>
      </w:r>
      <w:r w:rsidRPr="00BE1D93">
        <w:t xml:space="preserve"> Exposure to bisphenol A disrupts meiotic progression during spermatogenesis in adult rats through estrogen-like activity. Cell Death and Disease 4 (6).</w:t>
      </w:r>
      <w:r>
        <w:t xml:space="preserve"> </w:t>
      </w:r>
    </w:p>
    <w:p w14:paraId="5E079BBB" w14:textId="77777777" w:rsidR="00B31B67" w:rsidRDefault="00B31B67" w:rsidP="00B31B67">
      <w:hyperlink r:id="rId72" w:history="1">
        <w:r w:rsidRPr="001420B0">
          <w:rPr>
            <w:rStyle w:val="Hyperlink"/>
          </w:rPr>
          <w:t>https://doi.org/10.1038/cddis.2013.203</w:t>
        </w:r>
      </w:hyperlink>
      <w:r>
        <w:t xml:space="preserve"> </w:t>
      </w:r>
    </w:p>
    <w:p w14:paraId="64EE39DC" w14:textId="77777777" w:rsidR="00B31B67" w:rsidRDefault="00B31B67" w:rsidP="00B31B67">
      <w:r w:rsidRPr="00B31B67">
        <w:t xml:space="preserve">Luo S, Li Y, Zhu Q, Jiang J, Wu C, Shen T (2016). </w:t>
      </w:r>
      <w:r w:rsidRPr="00370732">
        <w:t>Gestational and lactational exposure to low-dose bisphenol A increases Th17 cells in mice offspring. Environmental Toxicology and Pharmacology 47, 149-158.</w:t>
      </w:r>
    </w:p>
    <w:p w14:paraId="222EA077" w14:textId="77777777" w:rsidR="00B31B67" w:rsidRDefault="00B31B67" w:rsidP="00B31B67">
      <w:hyperlink r:id="rId73" w:history="1">
        <w:r w:rsidRPr="001420B0">
          <w:rPr>
            <w:rStyle w:val="Hyperlink"/>
          </w:rPr>
          <w:t>https://doi.org/10.1016/j.etap.2016.09.017</w:t>
        </w:r>
      </w:hyperlink>
      <w:r>
        <w:t xml:space="preserve"> </w:t>
      </w:r>
    </w:p>
    <w:p w14:paraId="71CEAC26" w14:textId="77777777" w:rsidR="00B31B67" w:rsidRDefault="00B31B67" w:rsidP="00B31B67">
      <w:r>
        <w:t xml:space="preserve">Malaise Y, Menard S, Cartier C, Lencina C, Sommer C, Gaultier E, Houdeau E, Guzylack-Piriou L (2018). </w:t>
      </w:r>
      <w:r w:rsidRPr="00F549B9">
        <w:t>Consequences of bisphenol a perinatal exposure on immune responses and gut barrier function in mice. Arch Toxicol 92 (1), 347-358.</w:t>
      </w:r>
    </w:p>
    <w:p w14:paraId="20AF337B" w14:textId="77777777" w:rsidR="00B31B67" w:rsidRDefault="00B31B67" w:rsidP="00B31B67">
      <w:hyperlink r:id="rId74" w:history="1">
        <w:r w:rsidRPr="001420B0">
          <w:rPr>
            <w:rStyle w:val="Hyperlink"/>
          </w:rPr>
          <w:t>https://doi.org/10.1007/s00204-017-2038-2</w:t>
        </w:r>
      </w:hyperlink>
      <w:r>
        <w:t xml:space="preserve"> </w:t>
      </w:r>
    </w:p>
    <w:p w14:paraId="28C9D88D" w14:textId="07D05FE8" w:rsidR="00F144EA" w:rsidRDefault="00F144EA" w:rsidP="00F144EA">
      <w:r>
        <w:t>Menard S, Guzylack-Piriou L, Lencina C, Leveque</w:t>
      </w:r>
      <w:r w:rsidR="002F3686">
        <w:t xml:space="preserve"> </w:t>
      </w:r>
      <w:r>
        <w:t>M, Naturel M, Sekkal S, Harkat</w:t>
      </w:r>
      <w:r w:rsidR="002F3686">
        <w:t xml:space="preserve"> </w:t>
      </w:r>
      <w:r>
        <w:t>C, Gaultier</w:t>
      </w:r>
      <w:r w:rsidR="00E61E25">
        <w:t xml:space="preserve"> </w:t>
      </w:r>
      <w:r>
        <w:t>E, Olier M, Garcia-Villar R, Theodorou V,</w:t>
      </w:r>
      <w:r w:rsidR="00E61E25">
        <w:t xml:space="preserve"> </w:t>
      </w:r>
      <w:r>
        <w:t>Houdeau E (2014a)</w:t>
      </w:r>
      <w:r w:rsidR="00E61E25">
        <w:t>.</w:t>
      </w:r>
      <w:r>
        <w:t xml:space="preserve"> Perinatal </w:t>
      </w:r>
      <w:r w:rsidR="00874610">
        <w:t>e</w:t>
      </w:r>
      <w:r>
        <w:t>xposure to</w:t>
      </w:r>
      <w:r w:rsidR="00874610">
        <w:t xml:space="preserve"> </w:t>
      </w:r>
      <w:r>
        <w:t>a low dose of bisphenol A impaired systemic</w:t>
      </w:r>
      <w:r w:rsidR="00874610">
        <w:t xml:space="preserve"> </w:t>
      </w:r>
      <w:r>
        <w:t>cellular immune response and predisposes</w:t>
      </w:r>
      <w:r w:rsidR="00874610">
        <w:t xml:space="preserve"> </w:t>
      </w:r>
      <w:r>
        <w:t>young rats to intestinal parasitic infection.</w:t>
      </w:r>
      <w:r w:rsidR="00DD5C3C">
        <w:t xml:space="preserve"> PLoS One, 19(11)</w:t>
      </w:r>
      <w:r w:rsidR="007F7C12">
        <w:t>, e112752.</w:t>
      </w:r>
    </w:p>
    <w:p w14:paraId="3EF114A8" w14:textId="608D2660" w:rsidR="00192E52" w:rsidRDefault="007F7C12" w:rsidP="00F144EA">
      <w:hyperlink r:id="rId75" w:history="1">
        <w:r w:rsidRPr="00B86414">
          <w:rPr>
            <w:rStyle w:val="Hyperlink"/>
          </w:rPr>
          <w:t>https://doi.org/10.1371/journal.pone.0112752</w:t>
        </w:r>
      </w:hyperlink>
      <w:r>
        <w:t xml:space="preserve"> </w:t>
      </w:r>
    </w:p>
    <w:p w14:paraId="0B274AED" w14:textId="08ACF021" w:rsidR="00894EA9" w:rsidRDefault="00F144EA" w:rsidP="00894EA9">
      <w:r>
        <w:t>Menard S, Guzylack-Piriou L, Leveque M,</w:t>
      </w:r>
      <w:r w:rsidR="00192E52">
        <w:t xml:space="preserve"> </w:t>
      </w:r>
      <w:r>
        <w:t xml:space="preserve">Braniste V, Lencina C, Naturel M, </w:t>
      </w:r>
      <w:r w:rsidR="00192E52">
        <w:t>M</w:t>
      </w:r>
      <w:r>
        <w:t>oussa,</w:t>
      </w:r>
      <w:r w:rsidR="00894EA9" w:rsidRPr="00894EA9">
        <w:t xml:space="preserve"> </w:t>
      </w:r>
      <w:r w:rsidR="00894EA9">
        <w:t>L, Sekkal S, Harkat C, Gaultier E,</w:t>
      </w:r>
      <w:r w:rsidR="00192E52">
        <w:t xml:space="preserve"> </w:t>
      </w:r>
      <w:r w:rsidR="00894EA9">
        <w:t>Theodorou V, Houdeau E (2014b)</w:t>
      </w:r>
      <w:r w:rsidR="007F7C12">
        <w:t>.</w:t>
      </w:r>
      <w:r w:rsidR="00894EA9">
        <w:t xml:space="preserve"> Food</w:t>
      </w:r>
      <w:r w:rsidR="00192E52">
        <w:t xml:space="preserve"> </w:t>
      </w:r>
      <w:r w:rsidR="00894EA9">
        <w:lastRenderedPageBreak/>
        <w:t>intolerance at adulthood after perinatal</w:t>
      </w:r>
      <w:r w:rsidR="00192E52">
        <w:t xml:space="preserve"> </w:t>
      </w:r>
      <w:r w:rsidR="00894EA9">
        <w:t>exposure to the endocrine disruptor</w:t>
      </w:r>
      <w:r w:rsidR="00192E52">
        <w:t xml:space="preserve"> </w:t>
      </w:r>
      <w:r w:rsidR="00894EA9">
        <w:t>bisphenol</w:t>
      </w:r>
      <w:r w:rsidR="00E8660F">
        <w:t>. The FASEB Journal, 28(11)</w:t>
      </w:r>
      <w:r w:rsidR="00A12E58">
        <w:t>, 4893-4900.</w:t>
      </w:r>
    </w:p>
    <w:p w14:paraId="62A32F12" w14:textId="71EAD9CE" w:rsidR="00192E52" w:rsidRDefault="00A12E58" w:rsidP="00B31B67">
      <w:hyperlink r:id="rId76" w:history="1">
        <w:r w:rsidRPr="00B86414">
          <w:rPr>
            <w:rStyle w:val="Hyperlink"/>
          </w:rPr>
          <w:t>https://doi.org/10.1096/fj.14-255380</w:t>
        </w:r>
      </w:hyperlink>
      <w:r>
        <w:t xml:space="preserve"> </w:t>
      </w:r>
    </w:p>
    <w:p w14:paraId="7C56AAF4" w14:textId="1E6D5002" w:rsidR="00B31B67" w:rsidRDefault="00B31B67" w:rsidP="00B31B67">
      <w:r>
        <w:t xml:space="preserve">Molangiri A, Varma S, Satyavani M, Kambham S, Duttory AK, Basak S (2022). Prenatal exposure to bisphenol S and bisphenol A differentially affects male reproductive system in the adult offspring. Food and Chemical Toxicology, 16, 113292. </w:t>
      </w:r>
    </w:p>
    <w:p w14:paraId="23E95877" w14:textId="77777777" w:rsidR="00B31B67" w:rsidRDefault="00B31B67" w:rsidP="00B31B67">
      <w:hyperlink r:id="rId77" w:history="1">
        <w:r w:rsidRPr="001420B0">
          <w:rPr>
            <w:rStyle w:val="Hyperlink"/>
          </w:rPr>
          <w:t>https://doi.org/10.1016/j.fct.2022.113292</w:t>
        </w:r>
      </w:hyperlink>
      <w:r>
        <w:t xml:space="preserve"> </w:t>
      </w:r>
    </w:p>
    <w:p w14:paraId="49F39097" w14:textId="77777777" w:rsidR="00B31B67" w:rsidRDefault="00B31B67" w:rsidP="00B31B67">
      <w:r>
        <w:t>O’Brian E, Bergin IL, Dolinoy DC, Zaslona Z, Little RJA, Tao Y, Peters-Golden M, Manusco P (2014). Perinatal bisphenol A exposure beginning before gestation enhances allergen sensitisation, but not pulmonary inflammation, in adult mice. Journal of Developmental Origins of Health and Disease, 5(2), 121-131.</w:t>
      </w:r>
    </w:p>
    <w:p w14:paraId="1FFED603" w14:textId="77777777" w:rsidR="00B31B67" w:rsidRDefault="00B31B67" w:rsidP="00B31B67">
      <w:hyperlink r:id="rId78" w:history="1">
        <w:r w:rsidRPr="001420B0">
          <w:rPr>
            <w:rStyle w:val="Hyperlink"/>
          </w:rPr>
          <w:t>https://doi.org/10.1017/s204017441400004x</w:t>
        </w:r>
      </w:hyperlink>
      <w:r>
        <w:t xml:space="preserve"> </w:t>
      </w:r>
    </w:p>
    <w:p w14:paraId="0E64ECD0" w14:textId="77777777" w:rsidR="00B31B67" w:rsidRDefault="00B31B67" w:rsidP="00B31B67">
      <w:r>
        <w:t>Ozkemahli G,</w:t>
      </w:r>
      <w:r w:rsidRPr="001C6434">
        <w:t xml:space="preserve"> Ozyurt</w:t>
      </w:r>
      <w:r>
        <w:t xml:space="preserve"> AB, </w:t>
      </w:r>
      <w:r w:rsidRPr="001C6434">
        <w:t>Erkekoglu</w:t>
      </w:r>
      <w:r>
        <w:t xml:space="preserve"> P,</w:t>
      </w:r>
      <w:r w:rsidRPr="001C6434">
        <w:t xml:space="preserve"> Zeybek</w:t>
      </w:r>
      <w:r>
        <w:t xml:space="preserve"> ND</w:t>
      </w:r>
      <w:r w:rsidRPr="001C6434">
        <w:t>,</w:t>
      </w:r>
      <w:r>
        <w:t xml:space="preserve"> </w:t>
      </w:r>
      <w:r w:rsidRPr="001C6434">
        <w:t>Yersal</w:t>
      </w:r>
      <w:r>
        <w:t xml:space="preserve">N, </w:t>
      </w:r>
      <w:r w:rsidRPr="001C6434">
        <w:t>Kocer-Gumusel</w:t>
      </w:r>
      <w:r>
        <w:t xml:space="preserve"> B (2022).</w:t>
      </w:r>
      <w:r w:rsidRPr="002205C5">
        <w:t xml:space="preserve"> The effects of prenatal and lactational bisphenol A and/or di(2-ethylhexyl) phthalate exposure on female reproductive system</w:t>
      </w:r>
      <w:r>
        <w:t>. Toxicology Mechanisms and Methods, 32(8), 597-605</w:t>
      </w:r>
    </w:p>
    <w:p w14:paraId="50DD921F" w14:textId="77777777" w:rsidR="00B31B67" w:rsidRDefault="00B31B67" w:rsidP="00B31B67">
      <w:hyperlink r:id="rId79" w:history="1">
        <w:r w:rsidRPr="001420B0">
          <w:rPr>
            <w:rStyle w:val="Hyperlink"/>
          </w:rPr>
          <w:t>https://doi.org/10.1080/15376516.2022.2057265</w:t>
        </w:r>
      </w:hyperlink>
      <w:r>
        <w:t xml:space="preserve"> </w:t>
      </w:r>
    </w:p>
    <w:p w14:paraId="5F3B8FB1" w14:textId="77777777" w:rsidR="00B31B67" w:rsidRDefault="00B31B67" w:rsidP="00B31B67">
      <w:r>
        <w:t>Prueitte RL and Goodmann JE (2024).</w:t>
      </w:r>
      <w:r w:rsidRPr="00F45CA0">
        <w:t xml:space="preserve"> </w:t>
      </w:r>
      <w:r>
        <w:t>Evidence evaluated by European Food Safety Authority does not support lowering the temporary tolerable daily intake for bisphenol A. Toxicological Sciences, 198(2), 185-190.</w:t>
      </w:r>
    </w:p>
    <w:p w14:paraId="0B0470BD" w14:textId="77777777" w:rsidR="00B31B67" w:rsidRDefault="00B31B67" w:rsidP="00B31B67">
      <w:hyperlink r:id="rId80" w:history="1">
        <w:r w:rsidRPr="001420B0">
          <w:rPr>
            <w:rStyle w:val="Hyperlink"/>
          </w:rPr>
          <w:t>https://doi.org/10.1093/toxsci/kfad136</w:t>
        </w:r>
      </w:hyperlink>
      <w:r>
        <w:t xml:space="preserve"> </w:t>
      </w:r>
    </w:p>
    <w:p w14:paraId="18DAC394" w14:textId="02A2091E" w:rsidR="00A95821" w:rsidRDefault="00A95821" w:rsidP="00B31B67">
      <w:r>
        <w:t>RIVM (2014).</w:t>
      </w:r>
      <w:r w:rsidR="0064238A">
        <w:t xml:space="preserve"> Bisphenol A. Part 1. Facts and figures on human and environmental health issues and regulatory perspe</w:t>
      </w:r>
      <w:r w:rsidR="00B4267D">
        <w:t>ctives. RIVM Report 601351001/2014.</w:t>
      </w:r>
    </w:p>
    <w:p w14:paraId="66EC4C50" w14:textId="0A3065CF" w:rsidR="00B4267D" w:rsidRDefault="002A5C96" w:rsidP="00B31B67">
      <w:hyperlink r:id="rId81" w:history="1">
        <w:r w:rsidRPr="00B86414">
          <w:rPr>
            <w:rStyle w:val="Hyperlink"/>
          </w:rPr>
          <w:t>https://www.rivm.nl/bibliotheek/rapporten/601351001.pdf</w:t>
        </w:r>
      </w:hyperlink>
      <w:r>
        <w:t xml:space="preserve"> </w:t>
      </w:r>
    </w:p>
    <w:p w14:paraId="08CC4DB1" w14:textId="01B89FAD" w:rsidR="00A95821" w:rsidRDefault="00A95821" w:rsidP="00B31B67">
      <w:r>
        <w:t>RIVM (2016). Bisphenol A</w:t>
      </w:r>
      <w:r w:rsidR="00B22EE5">
        <w:t>. Part 2. Recommendations for risk assessment. RIVM Report 2015-</w:t>
      </w:r>
      <w:r w:rsidR="00AC03F8">
        <w:t>0192.</w:t>
      </w:r>
    </w:p>
    <w:p w14:paraId="7C9AF46D" w14:textId="7FDE1720" w:rsidR="00AC03F8" w:rsidRDefault="00AC03F8" w:rsidP="00B31B67">
      <w:hyperlink r:id="rId82" w:history="1">
        <w:r w:rsidRPr="00B86414">
          <w:rPr>
            <w:rStyle w:val="Hyperlink"/>
          </w:rPr>
          <w:t>https://www.rivm.nl/bibliotheek/rapporten/2015-0192.pdf</w:t>
        </w:r>
      </w:hyperlink>
      <w:r>
        <w:t xml:space="preserve"> </w:t>
      </w:r>
    </w:p>
    <w:p w14:paraId="2EDB4656" w14:textId="4F15313B" w:rsidR="00627CCB" w:rsidRDefault="00627CCB" w:rsidP="009610F9">
      <w:r>
        <w:t>Spielman</w:t>
      </w:r>
      <w:r w:rsidR="009610F9">
        <w:t>n</w:t>
      </w:r>
      <w:r>
        <w:t xml:space="preserve"> H (</w:t>
      </w:r>
      <w:r w:rsidR="009610F9">
        <w:t xml:space="preserve">2009). The way forward in reproductive/developmental toxicity testing. </w:t>
      </w:r>
      <w:r w:rsidR="005D6E44">
        <w:t xml:space="preserve">Alternatives to Laboratory Animals, </w:t>
      </w:r>
      <w:r w:rsidR="003844DB">
        <w:t>37(6), 641-656.</w:t>
      </w:r>
    </w:p>
    <w:p w14:paraId="00CC005A" w14:textId="4833A122" w:rsidR="00366295" w:rsidRDefault="00366295" w:rsidP="009610F9">
      <w:hyperlink r:id="rId83" w:history="1">
        <w:r w:rsidRPr="00F51045">
          <w:rPr>
            <w:rStyle w:val="Hyperlink"/>
          </w:rPr>
          <w:t>https://doi.org/10.1177/026119290903700609</w:t>
        </w:r>
      </w:hyperlink>
      <w:r>
        <w:t xml:space="preserve"> </w:t>
      </w:r>
    </w:p>
    <w:p w14:paraId="4465CAAB" w14:textId="1526614F" w:rsidR="00B31B67" w:rsidRDefault="00B31B67" w:rsidP="00B31B67">
      <w:r>
        <w:t>Srivastava S and Gupta P (2018).</w:t>
      </w:r>
      <w:r w:rsidRPr="005C5C5F">
        <w:t xml:space="preserve"> Alteration in apoptotic rate of testicular cells and sperms following administration of Bisphenol A (BPA) in Wistar albino rats. Environmental Science and Pollution Research 25 (22), 21635-21643.</w:t>
      </w:r>
    </w:p>
    <w:p w14:paraId="101CCAF4" w14:textId="77777777" w:rsidR="00B31B67" w:rsidRDefault="00B31B67" w:rsidP="00B31B67">
      <w:hyperlink r:id="rId84" w:history="1">
        <w:r w:rsidRPr="001420B0">
          <w:rPr>
            <w:rStyle w:val="Hyperlink"/>
          </w:rPr>
          <w:t>https://doi.org/10.1007/s11356-018-2229-2</w:t>
        </w:r>
      </w:hyperlink>
      <w:r>
        <w:t xml:space="preserve"> </w:t>
      </w:r>
    </w:p>
    <w:p w14:paraId="3BA2BB66" w14:textId="77777777" w:rsidR="00B31B67" w:rsidRDefault="00B31B67" w:rsidP="00B31B67">
      <w:r w:rsidRPr="00F02A68">
        <w:lastRenderedPageBreak/>
        <w:t>Sturm S, Weber K, Klinc P, Sp</w:t>
      </w:r>
      <w:r w:rsidRPr="00F02A68">
        <w:rPr>
          <w:rFonts w:cs="Arial"/>
        </w:rPr>
        <w:t>ö</w:t>
      </w:r>
      <w:r w:rsidRPr="00F02A68">
        <w:t xml:space="preserve">rndly-Ness E, Fakhrzadeh A, </w:t>
      </w:r>
      <w:r>
        <w:t xml:space="preserve">Knific T, Skibin A, Fiolova V, Okazaki Y, Razinger T, Laufs J, Kreutzer R, Pogacnik M, Svara T, Cerkvenik-Flajs V </w:t>
      </w:r>
      <w:r w:rsidRPr="00F02A68">
        <w:t>(2022).</w:t>
      </w:r>
      <w:r>
        <w:t xml:space="preserve"> Basic exploratory study of bisphenol A (BPA) dietary administration to istrian pramenka rams and male toxicity investigation. Toxics, 10, 224. </w:t>
      </w:r>
    </w:p>
    <w:p w14:paraId="6CFBF9D7" w14:textId="77777777" w:rsidR="00B31B67" w:rsidRPr="00B31B67" w:rsidRDefault="00B31B67" w:rsidP="00B31B67">
      <w:hyperlink r:id="rId85" w:history="1">
        <w:r w:rsidRPr="00B31B67">
          <w:rPr>
            <w:rStyle w:val="Hyperlink"/>
          </w:rPr>
          <w:t>https://doi.org/10.3390/toxics10050224</w:t>
        </w:r>
      </w:hyperlink>
      <w:r w:rsidRPr="00B31B67">
        <w:t xml:space="preserve"> </w:t>
      </w:r>
    </w:p>
    <w:p w14:paraId="19AC9961" w14:textId="77777777" w:rsidR="00B31B67" w:rsidRDefault="00B31B67" w:rsidP="00B31B67">
      <w:r>
        <w:t xml:space="preserve">Teteau O, Carvalho AV, Papillier P, Mandon-Pepin B, Jouneau L, Jarrier-Gaillard P, Sedmarchais A, Lebalchelier de la Riviere ME, Vignault C, Maillard V, Binet A, Uzbekova S, Elis S (2023). </w:t>
      </w:r>
      <w:r w:rsidRPr="00BD28CF">
        <w:t>Bisphenol A and bisphenol S both disrupt ovine granulosa cell steroidogenesis but through different molecular pathways</w:t>
      </w:r>
      <w:r>
        <w:t>. Journal of Ovarian Research, 16(30).</w:t>
      </w:r>
    </w:p>
    <w:p w14:paraId="0D84E3DA" w14:textId="77777777" w:rsidR="00B31B67" w:rsidRDefault="00B31B67" w:rsidP="00B31B67">
      <w:hyperlink r:id="rId86" w:history="1">
        <w:r w:rsidRPr="001420B0">
          <w:rPr>
            <w:rStyle w:val="Hyperlink"/>
          </w:rPr>
          <w:t>https://doi.org/10.1186/s13048-023-01114-4</w:t>
        </w:r>
      </w:hyperlink>
      <w:r>
        <w:t xml:space="preserve"> </w:t>
      </w:r>
    </w:p>
    <w:p w14:paraId="3E25CBDB" w14:textId="072F02A1" w:rsidR="00B31B67" w:rsidRDefault="00B31B67" w:rsidP="00B31B67">
      <w:r>
        <w:t>WHO/IPCS (201</w:t>
      </w:r>
      <w:r w:rsidR="006F3940">
        <w:t>7</w:t>
      </w:r>
      <w:r w:rsidR="00AA1867">
        <w:t>)</w:t>
      </w:r>
      <w:r>
        <w:t>. Guidance document on evaluating and expressing uncertainty in hazard characterisation</w:t>
      </w:r>
      <w:r w:rsidR="00143A5E">
        <w:t>.</w:t>
      </w:r>
      <w:r>
        <w:t xml:space="preserve"> Second Edition. Geneva: World Health Organisation. </w:t>
      </w:r>
    </w:p>
    <w:p w14:paraId="4C5662CE" w14:textId="2CFFC9EF" w:rsidR="0010473D" w:rsidRDefault="006F3940" w:rsidP="00B31B67">
      <w:hyperlink r:id="rId87" w:history="1">
        <w:r w:rsidRPr="003874FE">
          <w:rPr>
            <w:rStyle w:val="Hyperlink"/>
          </w:rPr>
          <w:t>https://iris.who.int/server/api/core/bitstreams/f1703c1d-0219-46b4-a0be-44c6dab8202d/content</w:t>
        </w:r>
      </w:hyperlink>
      <w:r>
        <w:t xml:space="preserve"> </w:t>
      </w:r>
    </w:p>
    <w:p w14:paraId="69951D3E" w14:textId="77777777" w:rsidR="00B31B67" w:rsidRDefault="00B31B67" w:rsidP="00B31B67">
      <w:r w:rsidRPr="00DB2C5D">
        <w:t xml:space="preserve">Ye X, Liu Z, Han HW, Noh JY, Shen Z, Kim DM, Wang H, Guo H, Ballard </w:t>
      </w:r>
      <w:r>
        <w:t xml:space="preserve">J, Golovko a, Morpurgo B, Sun X </w:t>
      </w:r>
      <w:r w:rsidRPr="00DB2C5D">
        <w:t>(2023).</w:t>
      </w:r>
      <w:r w:rsidRPr="0057362A">
        <w:t xml:space="preserve"> </w:t>
      </w:r>
      <w:r>
        <w:t>Nutrient-sensing ghrelin receptor in macrophages modulates bisphenol A-induced intestinal inflammation in mice. Genes, 14, 1455.</w:t>
      </w:r>
    </w:p>
    <w:p w14:paraId="188FBD66" w14:textId="77777777" w:rsidR="00B31B67" w:rsidRPr="00DB2C5D" w:rsidRDefault="00B31B67" w:rsidP="00B31B67">
      <w:hyperlink r:id="rId88" w:history="1">
        <w:r w:rsidRPr="001420B0">
          <w:rPr>
            <w:rStyle w:val="Hyperlink"/>
          </w:rPr>
          <w:t>https://doi.org/10.3390/genes14071455</w:t>
        </w:r>
      </w:hyperlink>
      <w:r>
        <w:t xml:space="preserve"> </w:t>
      </w:r>
    </w:p>
    <w:p w14:paraId="5D61BEC8" w14:textId="77777777" w:rsidR="00B31B67" w:rsidRDefault="00B31B67" w:rsidP="00B31B67">
      <w:r w:rsidRPr="00EE08F4">
        <w:t xml:space="preserve">Zhang N, Zhao Y, </w:t>
      </w:r>
      <w:r>
        <w:t>Zhai L, Bai Y, Jia L (2023).</w:t>
      </w:r>
      <w:r w:rsidRPr="00A44BC0">
        <w:t xml:space="preserve"> Urinary bisphenol A and S are associated with diminished ovarian reserve in women from an infertility clinic in Northern China</w:t>
      </w:r>
      <w:r>
        <w:t>. Ecotoxicology and Environmental Safety. 256, 114867.</w:t>
      </w:r>
    </w:p>
    <w:p w14:paraId="09E0D880" w14:textId="77777777" w:rsidR="00B31B67" w:rsidRDefault="00B31B67" w:rsidP="00B31B67">
      <w:hyperlink r:id="rId89" w:history="1">
        <w:r w:rsidRPr="001420B0">
          <w:rPr>
            <w:rStyle w:val="Hyperlink"/>
          </w:rPr>
          <w:t>https://doi.org/10.1016/j.ecoenv.2023.114867</w:t>
        </w:r>
      </w:hyperlink>
      <w:r>
        <w:t xml:space="preserve"> </w:t>
      </w:r>
    </w:p>
    <w:p w14:paraId="11DE51D0" w14:textId="77777777" w:rsidR="00B31B67" w:rsidRDefault="00B31B67" w:rsidP="00B31B67"/>
    <w:p w14:paraId="7D953248" w14:textId="77777777" w:rsidR="009E7530" w:rsidRDefault="009E7530" w:rsidP="00461E31">
      <w:pPr>
        <w:spacing w:line="480" w:lineRule="auto"/>
        <w:rPr>
          <w:rFonts w:eastAsia="Times New Roman" w:cs="Arial"/>
          <w:b/>
          <w:bCs/>
          <w:szCs w:val="20"/>
          <w:lang w:eastAsia="en-GB"/>
        </w:rPr>
        <w:sectPr w:rsidR="009E7530" w:rsidSect="006C60D3">
          <w:pgSz w:w="11906" w:h="16838"/>
          <w:pgMar w:top="1440" w:right="1440" w:bottom="1440" w:left="1440" w:header="709" w:footer="709" w:gutter="0"/>
          <w:cols w:space="708"/>
          <w:docGrid w:linePitch="360"/>
        </w:sectPr>
      </w:pPr>
    </w:p>
    <w:p w14:paraId="08682273" w14:textId="295868D3" w:rsidR="004B2B34" w:rsidRDefault="004B2B34" w:rsidP="005C7535">
      <w:pPr>
        <w:pStyle w:val="Heading1"/>
      </w:pPr>
      <w:r>
        <w:lastRenderedPageBreak/>
        <w:t>TOX/2025/</w:t>
      </w:r>
      <w:r w:rsidR="005C7535">
        <w:t>47</w:t>
      </w:r>
      <w:r>
        <w:t>Annex A</w:t>
      </w:r>
    </w:p>
    <w:p w14:paraId="67DE3619" w14:textId="5B84957F" w:rsidR="009E7530" w:rsidRDefault="009E7530" w:rsidP="009E7530">
      <w:pPr>
        <w:spacing w:line="480" w:lineRule="auto"/>
        <w:rPr>
          <w:b/>
          <w:bCs/>
          <w:sz w:val="28"/>
          <w:szCs w:val="28"/>
        </w:rPr>
      </w:pPr>
      <w:r w:rsidRPr="006F1727">
        <w:rPr>
          <w:b/>
          <w:bCs/>
          <w:sz w:val="28"/>
          <w:szCs w:val="28"/>
        </w:rPr>
        <w:t xml:space="preserve">Committee on Toxicity of Chemicals in Food, Consumer Products and the Environment (COT) </w:t>
      </w:r>
    </w:p>
    <w:p w14:paraId="52CE5052" w14:textId="77777777" w:rsidR="009E7530" w:rsidRPr="00D4025A" w:rsidRDefault="009E7530" w:rsidP="009E7530">
      <w:pPr>
        <w:spacing w:line="480" w:lineRule="auto"/>
        <w:rPr>
          <w:b/>
          <w:bCs/>
          <w:sz w:val="28"/>
          <w:szCs w:val="28"/>
          <w:lang w:eastAsia="de-DE"/>
        </w:rPr>
      </w:pPr>
      <w:r>
        <w:rPr>
          <w:b/>
          <w:bCs/>
          <w:sz w:val="28"/>
          <w:szCs w:val="28"/>
          <w:lang w:eastAsia="de-DE"/>
        </w:rPr>
        <w:t>Draft supplementary statement to the COT’s p</w:t>
      </w:r>
      <w:r w:rsidRPr="006F1727">
        <w:rPr>
          <w:b/>
          <w:bCs/>
          <w:sz w:val="28"/>
          <w:szCs w:val="28"/>
          <w:lang w:eastAsia="de-DE"/>
        </w:rPr>
        <w:t xml:space="preserve">osition </w:t>
      </w:r>
      <w:r>
        <w:rPr>
          <w:b/>
          <w:bCs/>
          <w:sz w:val="28"/>
          <w:szCs w:val="28"/>
          <w:lang w:eastAsia="de-DE"/>
        </w:rPr>
        <w:t>paper</w:t>
      </w:r>
      <w:r w:rsidRPr="006F1727">
        <w:rPr>
          <w:b/>
          <w:bCs/>
          <w:sz w:val="28"/>
          <w:szCs w:val="28"/>
          <w:lang w:eastAsia="de-DE"/>
        </w:rPr>
        <w:t xml:space="preserve"> on bisphenol A </w:t>
      </w:r>
      <w:r>
        <w:rPr>
          <w:b/>
          <w:bCs/>
          <w:sz w:val="28"/>
          <w:szCs w:val="28"/>
          <w:lang w:eastAsia="de-DE"/>
        </w:rPr>
        <w:t xml:space="preserve">(BPA) </w:t>
      </w:r>
    </w:p>
    <w:p w14:paraId="6CB3DBDD" w14:textId="16406CDE" w:rsidR="0061444B" w:rsidRPr="0061444B" w:rsidRDefault="0061444B" w:rsidP="0061444B">
      <w:pPr>
        <w:spacing w:line="480" w:lineRule="auto"/>
        <w:rPr>
          <w:rFonts w:eastAsia="Times New Roman" w:cs="Arial"/>
          <w:b/>
          <w:bCs/>
          <w:szCs w:val="20"/>
          <w:lang w:eastAsia="en-GB"/>
        </w:rPr>
      </w:pPr>
      <w:r w:rsidRPr="0061444B">
        <w:rPr>
          <w:rFonts w:eastAsia="Times New Roman" w:cs="Arial"/>
          <w:b/>
          <w:bCs/>
          <w:szCs w:val="20"/>
          <w:lang w:eastAsia="en-GB"/>
        </w:rPr>
        <w:t xml:space="preserve">Literature search on the reproductive toxicity, immunotoxicity, pathology and histopathology of BPA </w:t>
      </w:r>
    </w:p>
    <w:p w14:paraId="7BDCB003" w14:textId="6B60250A" w:rsidR="0061444B" w:rsidRPr="0061444B" w:rsidRDefault="008F7629" w:rsidP="0061444B">
      <w:pPr>
        <w:spacing w:line="480" w:lineRule="auto"/>
        <w:rPr>
          <w:rFonts w:eastAsia="Times New Roman" w:cs="Arial"/>
          <w:szCs w:val="20"/>
          <w:lang w:eastAsia="en-GB"/>
        </w:rPr>
      </w:pPr>
      <w:r>
        <w:rPr>
          <w:rFonts w:eastAsia="Times New Roman" w:cs="Arial"/>
          <w:szCs w:val="20"/>
          <w:lang w:eastAsia="en-GB"/>
        </w:rPr>
        <w:t>A l</w:t>
      </w:r>
      <w:r w:rsidR="0061444B" w:rsidRPr="0061444B">
        <w:rPr>
          <w:rFonts w:eastAsia="Times New Roman" w:cs="Arial"/>
          <w:szCs w:val="20"/>
          <w:lang w:eastAsia="en-GB"/>
        </w:rPr>
        <w:t xml:space="preserve">iterature search </w:t>
      </w:r>
      <w:r w:rsidR="0061444B">
        <w:rPr>
          <w:rFonts w:eastAsia="Times New Roman" w:cs="Arial"/>
          <w:szCs w:val="20"/>
          <w:lang w:eastAsia="en-GB"/>
        </w:rPr>
        <w:t xml:space="preserve">was performed </w:t>
      </w:r>
      <w:r w:rsidR="0061444B" w:rsidRPr="0061444B">
        <w:rPr>
          <w:rFonts w:eastAsia="Times New Roman" w:cs="Arial"/>
          <w:szCs w:val="20"/>
          <w:lang w:eastAsia="en-GB"/>
        </w:rPr>
        <w:t xml:space="preserve">from January 2022 until June 2024 using </w:t>
      </w:r>
      <w:r w:rsidR="0061444B">
        <w:rPr>
          <w:rFonts w:eastAsia="Times New Roman" w:cs="Arial"/>
          <w:szCs w:val="20"/>
          <w:lang w:eastAsia="en-GB"/>
        </w:rPr>
        <w:t>the following search terms</w:t>
      </w:r>
      <w:r>
        <w:rPr>
          <w:rFonts w:eastAsia="Times New Roman" w:cs="Arial"/>
          <w:szCs w:val="20"/>
          <w:lang w:eastAsia="en-GB"/>
        </w:rPr>
        <w:t>:</w:t>
      </w:r>
    </w:p>
    <w:p w14:paraId="5C5951D5" w14:textId="77777777" w:rsidR="0061444B" w:rsidRPr="0061444B" w:rsidRDefault="0061444B" w:rsidP="0061444B">
      <w:pPr>
        <w:spacing w:line="480" w:lineRule="auto"/>
        <w:rPr>
          <w:rFonts w:eastAsia="Times New Roman" w:cs="Arial"/>
          <w:szCs w:val="20"/>
          <w:lang w:eastAsia="en-GB"/>
        </w:rPr>
      </w:pPr>
      <w:r w:rsidRPr="0061444B">
        <w:rPr>
          <w:rFonts w:eastAsia="Times New Roman" w:cs="Arial"/>
          <w:szCs w:val="20"/>
          <w:lang w:eastAsia="en-GB"/>
        </w:rPr>
        <w:t xml:space="preserve">(Bisphenol A OR BPA) AND (reproduct* OR   immunotox* OR patholog* OR histopatholog* OR Th17) </w:t>
      </w:r>
    </w:p>
    <w:p w14:paraId="71AEB18B" w14:textId="15B7CDA8" w:rsidR="0061444B" w:rsidRDefault="000B139C" w:rsidP="0061444B">
      <w:pPr>
        <w:spacing w:line="480" w:lineRule="auto"/>
        <w:rPr>
          <w:rFonts w:eastAsia="Times New Roman" w:cs="Arial"/>
          <w:szCs w:val="20"/>
          <w:lang w:eastAsia="en-GB"/>
        </w:rPr>
      </w:pPr>
      <w:r>
        <w:rPr>
          <w:rFonts w:eastAsia="Times New Roman" w:cs="Arial"/>
          <w:szCs w:val="20"/>
          <w:lang w:eastAsia="en-GB"/>
        </w:rPr>
        <w:t xml:space="preserve">The search returned </w:t>
      </w:r>
      <w:r w:rsidR="0061444B" w:rsidRPr="0061444B">
        <w:rPr>
          <w:rFonts w:eastAsia="Times New Roman" w:cs="Arial"/>
          <w:szCs w:val="20"/>
          <w:lang w:eastAsia="en-GB"/>
        </w:rPr>
        <w:t>761 articles</w:t>
      </w:r>
      <w:r>
        <w:rPr>
          <w:rFonts w:eastAsia="Times New Roman" w:cs="Arial"/>
          <w:szCs w:val="20"/>
          <w:lang w:eastAsia="en-GB"/>
        </w:rPr>
        <w:t xml:space="preserve">, of which 3 were duplicates. </w:t>
      </w:r>
      <w:r w:rsidR="00790F35">
        <w:rPr>
          <w:rFonts w:eastAsia="Times New Roman" w:cs="Arial"/>
          <w:szCs w:val="20"/>
          <w:lang w:eastAsia="en-GB"/>
        </w:rPr>
        <w:t xml:space="preserve"> </w:t>
      </w:r>
      <w:r>
        <w:rPr>
          <w:rFonts w:eastAsia="Times New Roman" w:cs="Arial"/>
          <w:szCs w:val="20"/>
          <w:lang w:eastAsia="en-GB"/>
        </w:rPr>
        <w:t>After m</w:t>
      </w:r>
      <w:r w:rsidR="0061444B" w:rsidRPr="0061444B">
        <w:rPr>
          <w:rFonts w:eastAsia="Times New Roman" w:cs="Arial"/>
          <w:szCs w:val="20"/>
          <w:lang w:eastAsia="en-GB"/>
        </w:rPr>
        <w:t xml:space="preserve">anual filtering </w:t>
      </w:r>
      <w:r>
        <w:rPr>
          <w:rFonts w:eastAsia="Times New Roman" w:cs="Arial"/>
          <w:szCs w:val="20"/>
          <w:lang w:eastAsia="en-GB"/>
        </w:rPr>
        <w:t>(</w:t>
      </w:r>
      <w:r w:rsidR="0061444B" w:rsidRPr="0061444B">
        <w:rPr>
          <w:rFonts w:eastAsia="Times New Roman" w:cs="Arial"/>
          <w:szCs w:val="20"/>
          <w:lang w:eastAsia="en-GB"/>
        </w:rPr>
        <w:t>titles and abstracts</w:t>
      </w:r>
      <w:r>
        <w:rPr>
          <w:rFonts w:eastAsia="Times New Roman" w:cs="Arial"/>
          <w:szCs w:val="20"/>
          <w:lang w:eastAsia="en-GB"/>
        </w:rPr>
        <w:t>)</w:t>
      </w:r>
      <w:r w:rsidR="0061444B" w:rsidRPr="0061444B">
        <w:rPr>
          <w:rFonts w:eastAsia="Times New Roman" w:cs="Arial"/>
          <w:szCs w:val="20"/>
          <w:lang w:eastAsia="en-GB"/>
        </w:rPr>
        <w:t xml:space="preserve"> 101 articles </w:t>
      </w:r>
      <w:r>
        <w:rPr>
          <w:rFonts w:eastAsia="Times New Roman" w:cs="Arial"/>
          <w:szCs w:val="20"/>
          <w:lang w:eastAsia="en-GB"/>
        </w:rPr>
        <w:t>remained</w:t>
      </w:r>
    </w:p>
    <w:p w14:paraId="5F494151" w14:textId="77777777" w:rsidR="000B139C" w:rsidRPr="00790F35" w:rsidRDefault="000B139C" w:rsidP="00790F35">
      <w:pPr>
        <w:pStyle w:val="ListParagraph"/>
        <w:numPr>
          <w:ilvl w:val="0"/>
          <w:numId w:val="49"/>
        </w:numPr>
        <w:spacing w:line="480" w:lineRule="auto"/>
        <w:rPr>
          <w:rFonts w:eastAsia="Times New Roman" w:cs="Arial"/>
          <w:szCs w:val="20"/>
          <w:lang w:eastAsia="en-GB"/>
        </w:rPr>
      </w:pPr>
      <w:r w:rsidRPr="00790F35">
        <w:rPr>
          <w:rFonts w:eastAsia="Times New Roman" w:cs="Arial"/>
          <w:szCs w:val="20"/>
          <w:lang w:eastAsia="en-GB"/>
        </w:rPr>
        <w:t>B</w:t>
      </w:r>
      <w:r w:rsidR="0061444B" w:rsidRPr="00790F35">
        <w:rPr>
          <w:rFonts w:eastAsia="Times New Roman" w:cs="Arial"/>
          <w:szCs w:val="20"/>
          <w:lang w:eastAsia="en-GB"/>
        </w:rPr>
        <w:t>roader BPA studies (4)</w:t>
      </w:r>
    </w:p>
    <w:p w14:paraId="4AD79000" w14:textId="77777777" w:rsidR="000B139C" w:rsidRPr="00790F35" w:rsidRDefault="000B139C" w:rsidP="00790F35">
      <w:pPr>
        <w:pStyle w:val="ListParagraph"/>
        <w:numPr>
          <w:ilvl w:val="0"/>
          <w:numId w:val="49"/>
        </w:numPr>
        <w:spacing w:line="480" w:lineRule="auto"/>
        <w:rPr>
          <w:rFonts w:eastAsia="Times New Roman" w:cs="Arial"/>
          <w:szCs w:val="20"/>
          <w:lang w:eastAsia="en-GB"/>
        </w:rPr>
      </w:pPr>
      <w:r w:rsidRPr="00790F35">
        <w:rPr>
          <w:rFonts w:eastAsia="Times New Roman" w:cs="Arial"/>
          <w:szCs w:val="20"/>
          <w:lang w:eastAsia="en-GB"/>
        </w:rPr>
        <w:t>I</w:t>
      </w:r>
      <w:r w:rsidR="0061444B" w:rsidRPr="00790F35">
        <w:rPr>
          <w:rFonts w:eastAsia="Times New Roman" w:cs="Arial"/>
          <w:szCs w:val="20"/>
          <w:lang w:eastAsia="en-GB"/>
        </w:rPr>
        <w:t>mmune effects of BPA (10)</w:t>
      </w:r>
    </w:p>
    <w:p w14:paraId="2CB0E0DE" w14:textId="77777777" w:rsidR="000B139C" w:rsidRPr="00790F35" w:rsidRDefault="000B139C" w:rsidP="00790F35">
      <w:pPr>
        <w:pStyle w:val="ListParagraph"/>
        <w:numPr>
          <w:ilvl w:val="0"/>
          <w:numId w:val="49"/>
        </w:numPr>
        <w:spacing w:line="480" w:lineRule="auto"/>
        <w:rPr>
          <w:rFonts w:eastAsia="Times New Roman" w:cs="Arial"/>
          <w:szCs w:val="20"/>
          <w:lang w:eastAsia="en-GB"/>
        </w:rPr>
      </w:pPr>
      <w:r w:rsidRPr="00790F35">
        <w:rPr>
          <w:rFonts w:eastAsia="Times New Roman" w:cs="Arial"/>
          <w:szCs w:val="20"/>
          <w:lang w:eastAsia="en-GB"/>
        </w:rPr>
        <w:t>R</w:t>
      </w:r>
      <w:r w:rsidR="0061444B" w:rsidRPr="00790F35">
        <w:rPr>
          <w:rFonts w:eastAsia="Times New Roman" w:cs="Arial"/>
          <w:szCs w:val="20"/>
          <w:lang w:eastAsia="en-GB"/>
        </w:rPr>
        <w:t>eproductive effects of BPA (70)</w:t>
      </w:r>
    </w:p>
    <w:p w14:paraId="38CC9B75" w14:textId="77777777" w:rsidR="000B139C" w:rsidRPr="00790F35" w:rsidRDefault="000B139C" w:rsidP="00790F35">
      <w:pPr>
        <w:pStyle w:val="ListParagraph"/>
        <w:numPr>
          <w:ilvl w:val="0"/>
          <w:numId w:val="49"/>
        </w:numPr>
        <w:spacing w:line="480" w:lineRule="auto"/>
        <w:rPr>
          <w:rFonts w:eastAsia="Times New Roman" w:cs="Arial"/>
          <w:szCs w:val="20"/>
          <w:lang w:eastAsia="en-GB"/>
        </w:rPr>
      </w:pPr>
      <w:r w:rsidRPr="00790F35">
        <w:rPr>
          <w:rFonts w:eastAsia="Times New Roman" w:cs="Arial"/>
          <w:szCs w:val="20"/>
          <w:lang w:eastAsia="en-GB"/>
        </w:rPr>
        <w:t>P</w:t>
      </w:r>
      <w:r w:rsidR="0061444B" w:rsidRPr="00790F35">
        <w:rPr>
          <w:rFonts w:eastAsia="Times New Roman" w:cs="Arial"/>
          <w:szCs w:val="20"/>
          <w:lang w:eastAsia="en-GB"/>
        </w:rPr>
        <w:t xml:space="preserve">athology/histopathology (8) </w:t>
      </w:r>
    </w:p>
    <w:p w14:paraId="4210CC31" w14:textId="1E1684FD" w:rsidR="0061444B" w:rsidRPr="00790F35" w:rsidRDefault="000B139C" w:rsidP="00790F35">
      <w:pPr>
        <w:pStyle w:val="ListParagraph"/>
        <w:numPr>
          <w:ilvl w:val="0"/>
          <w:numId w:val="49"/>
        </w:numPr>
        <w:spacing w:line="480" w:lineRule="auto"/>
        <w:rPr>
          <w:rFonts w:eastAsia="Times New Roman" w:cs="Arial"/>
          <w:szCs w:val="20"/>
          <w:lang w:eastAsia="en-GB"/>
        </w:rPr>
      </w:pPr>
      <w:r w:rsidRPr="00790F35">
        <w:rPr>
          <w:rFonts w:eastAsia="Times New Roman" w:cs="Arial"/>
          <w:szCs w:val="20"/>
          <w:lang w:eastAsia="en-GB"/>
        </w:rPr>
        <w:t>O</w:t>
      </w:r>
      <w:r w:rsidR="0061444B" w:rsidRPr="00790F35">
        <w:rPr>
          <w:rFonts w:eastAsia="Times New Roman" w:cs="Arial"/>
          <w:szCs w:val="20"/>
          <w:lang w:eastAsia="en-GB"/>
        </w:rPr>
        <w:t xml:space="preserve">ther toxic effects (9) </w:t>
      </w:r>
    </w:p>
    <w:p w14:paraId="19765D27" w14:textId="77777777" w:rsidR="0061444B" w:rsidRPr="0061444B" w:rsidRDefault="0061444B" w:rsidP="0061444B">
      <w:pPr>
        <w:spacing w:line="480" w:lineRule="auto"/>
        <w:rPr>
          <w:rFonts w:eastAsia="Times New Roman" w:cs="Arial"/>
          <w:b/>
          <w:bCs/>
          <w:szCs w:val="20"/>
          <w:lang w:eastAsia="en-GB"/>
        </w:rPr>
      </w:pPr>
    </w:p>
    <w:sectPr w:rsidR="0061444B" w:rsidRPr="0061444B" w:rsidSect="006C60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1301" w14:textId="77777777" w:rsidR="00A151D9" w:rsidRDefault="00A151D9" w:rsidP="00894658">
      <w:pPr>
        <w:spacing w:after="0" w:line="240" w:lineRule="auto"/>
      </w:pPr>
      <w:r>
        <w:separator/>
      </w:r>
    </w:p>
  </w:endnote>
  <w:endnote w:type="continuationSeparator" w:id="0">
    <w:p w14:paraId="3F667D1B" w14:textId="77777777" w:rsidR="00A151D9" w:rsidRDefault="00A151D9" w:rsidP="00894658">
      <w:pPr>
        <w:spacing w:after="0" w:line="240" w:lineRule="auto"/>
      </w:pPr>
      <w:r>
        <w:continuationSeparator/>
      </w:r>
    </w:p>
  </w:endnote>
  <w:endnote w:type="continuationNotice" w:id="1">
    <w:p w14:paraId="23EEABAC" w14:textId="77777777" w:rsidR="00A151D9" w:rsidRDefault="00A15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30F6" w14:textId="50CCEACF" w:rsidR="00ED2FDD" w:rsidRDefault="00ED2FDD">
    <w:pPr>
      <w:pStyle w:val="Footer"/>
    </w:pPr>
    <w:r>
      <w:rPr>
        <w:noProof/>
      </w:rPr>
      <mc:AlternateContent>
        <mc:Choice Requires="wps">
          <w:drawing>
            <wp:anchor distT="0" distB="0" distL="0" distR="0" simplePos="0" relativeHeight="251658243" behindDoc="0" locked="0" layoutInCell="1" allowOverlap="1" wp14:anchorId="6058DEF0" wp14:editId="390659C4">
              <wp:simplePos x="635" y="635"/>
              <wp:positionH relativeFrom="page">
                <wp:align>center</wp:align>
              </wp:positionH>
              <wp:positionV relativeFrom="page">
                <wp:align>bottom</wp:align>
              </wp:positionV>
              <wp:extent cx="551815" cy="391160"/>
              <wp:effectExtent l="0" t="0" r="635" b="0"/>
              <wp:wrapNone/>
              <wp:docPr id="17216757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9EAB1E" w14:textId="68177F87"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8DEF0"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E9EAB1E" w14:textId="68177F87"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5FAC" w14:textId="1B46E544" w:rsidR="004E5575" w:rsidRDefault="00ED2FDD">
    <w:pPr>
      <w:pStyle w:val="Footer"/>
      <w:jc w:val="center"/>
    </w:pPr>
    <w:r>
      <w:rPr>
        <w:noProof/>
      </w:rPr>
      <mc:AlternateContent>
        <mc:Choice Requires="wps">
          <w:drawing>
            <wp:anchor distT="0" distB="0" distL="0" distR="0" simplePos="0" relativeHeight="251658241" behindDoc="0" locked="0" layoutInCell="1" allowOverlap="1" wp14:anchorId="09D61568" wp14:editId="1DE6ECDA">
              <wp:simplePos x="914400" y="9893300"/>
              <wp:positionH relativeFrom="page">
                <wp:align>center</wp:align>
              </wp:positionH>
              <wp:positionV relativeFrom="page">
                <wp:align>bottom</wp:align>
              </wp:positionV>
              <wp:extent cx="551815" cy="391160"/>
              <wp:effectExtent l="0" t="0" r="635" b="0"/>
              <wp:wrapNone/>
              <wp:docPr id="5241266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B6861B" w14:textId="6B43A15B"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6156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EB6861B" w14:textId="6B43A15B"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sdt>
      <w:sdtPr>
        <w:id w:val="1078637043"/>
        <w:docPartObj>
          <w:docPartGallery w:val="Page Numbers (Bottom of Page)"/>
          <w:docPartUnique/>
        </w:docPartObj>
      </w:sdtPr>
      <w:sdtEndPr>
        <w:rPr>
          <w:noProof/>
        </w:rPr>
      </w:sdtEndPr>
      <w:sdtContent>
        <w:r w:rsidR="004E5575">
          <w:fldChar w:fldCharType="begin"/>
        </w:r>
        <w:r w:rsidR="004E5575">
          <w:instrText xml:space="preserve"> PAGE   \* MERGEFORMAT </w:instrText>
        </w:r>
        <w:r w:rsidR="004E5575">
          <w:fldChar w:fldCharType="separate"/>
        </w:r>
        <w:r w:rsidR="004E5575">
          <w:rPr>
            <w:noProof/>
          </w:rPr>
          <w:t>2</w:t>
        </w:r>
        <w:r w:rsidR="004E5575">
          <w:rPr>
            <w:noProof/>
          </w:rPr>
          <w:fldChar w:fldCharType="end"/>
        </w:r>
      </w:sdtContent>
    </w:sdt>
  </w:p>
  <w:p w14:paraId="48587931" w14:textId="77777777" w:rsidR="001326F8" w:rsidRDefault="00132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21CE" w14:textId="01C8D54E" w:rsidR="00ED2FDD" w:rsidRDefault="00ED2FDD">
    <w:pPr>
      <w:pStyle w:val="Footer"/>
    </w:pPr>
    <w:r>
      <w:rPr>
        <w:noProof/>
      </w:rPr>
      <mc:AlternateContent>
        <mc:Choice Requires="wps">
          <w:drawing>
            <wp:anchor distT="0" distB="0" distL="0" distR="0" simplePos="0" relativeHeight="251658245" behindDoc="0" locked="0" layoutInCell="1" allowOverlap="1" wp14:anchorId="10ABCC4F" wp14:editId="51DECCB2">
              <wp:simplePos x="635" y="635"/>
              <wp:positionH relativeFrom="page">
                <wp:align>center</wp:align>
              </wp:positionH>
              <wp:positionV relativeFrom="page">
                <wp:align>bottom</wp:align>
              </wp:positionV>
              <wp:extent cx="551815" cy="391160"/>
              <wp:effectExtent l="0" t="0" r="635" b="0"/>
              <wp:wrapNone/>
              <wp:docPr id="1439708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FC603D" w14:textId="3004C9D8"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BCC4F"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FFC603D" w14:textId="3004C9D8"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F52C" w14:textId="77777777" w:rsidR="00A151D9" w:rsidRDefault="00A151D9" w:rsidP="00894658">
      <w:pPr>
        <w:spacing w:after="0" w:line="240" w:lineRule="auto"/>
      </w:pPr>
      <w:r>
        <w:separator/>
      </w:r>
    </w:p>
  </w:footnote>
  <w:footnote w:type="continuationSeparator" w:id="0">
    <w:p w14:paraId="3384451E" w14:textId="77777777" w:rsidR="00A151D9" w:rsidRDefault="00A151D9" w:rsidP="00894658">
      <w:pPr>
        <w:spacing w:after="0" w:line="240" w:lineRule="auto"/>
      </w:pPr>
      <w:r>
        <w:continuationSeparator/>
      </w:r>
    </w:p>
  </w:footnote>
  <w:footnote w:type="continuationNotice" w:id="1">
    <w:p w14:paraId="14B3B2FA" w14:textId="77777777" w:rsidR="00A151D9" w:rsidRDefault="00A15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796E" w14:textId="6179078B" w:rsidR="00ED2FDD" w:rsidRDefault="00ED2FDD">
    <w:pPr>
      <w:pStyle w:val="Header"/>
    </w:pPr>
    <w:r>
      <w:rPr>
        <w:noProof/>
      </w:rPr>
      <mc:AlternateContent>
        <mc:Choice Requires="wps">
          <w:drawing>
            <wp:anchor distT="0" distB="0" distL="0" distR="0" simplePos="0" relativeHeight="251658242" behindDoc="0" locked="0" layoutInCell="1" allowOverlap="1" wp14:anchorId="7B234638" wp14:editId="59CC09C3">
              <wp:simplePos x="635" y="635"/>
              <wp:positionH relativeFrom="page">
                <wp:align>center</wp:align>
              </wp:positionH>
              <wp:positionV relativeFrom="page">
                <wp:align>top</wp:align>
              </wp:positionV>
              <wp:extent cx="551815" cy="391160"/>
              <wp:effectExtent l="0" t="0" r="635" b="8890"/>
              <wp:wrapNone/>
              <wp:docPr id="31732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D62CE6" w14:textId="0A853F29"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3463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3D62CE6" w14:textId="0A853F29"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1477" w14:textId="13581B5C" w:rsidR="001326F8" w:rsidRPr="001B1F3A" w:rsidRDefault="00ED2FDD" w:rsidP="001B1F3A">
    <w:pPr>
      <w:autoSpaceDE w:val="0"/>
      <w:autoSpaceDN w:val="0"/>
      <w:adjustRightInd w:val="0"/>
      <w:spacing w:after="0" w:line="240" w:lineRule="auto"/>
      <w:rPr>
        <w:rFonts w:eastAsia="Times New Roman" w:cs="Arial"/>
        <w:color w:val="FF0000"/>
        <w:szCs w:val="24"/>
        <w:lang w:eastAsia="en-GB"/>
      </w:rPr>
    </w:pPr>
    <w:r w:rsidRPr="001B1F3A">
      <w:rPr>
        <w:rFonts w:eastAsia="Times New Roman" w:cs="Arial"/>
        <w:noProof/>
        <w:color w:val="7030A0"/>
        <w:szCs w:val="24"/>
        <w:lang w:eastAsia="en-GB"/>
      </w:rPr>
      <mc:AlternateContent>
        <mc:Choice Requires="wps">
          <w:drawing>
            <wp:anchor distT="0" distB="0" distL="0" distR="0" simplePos="0" relativeHeight="251658240" behindDoc="0" locked="0" layoutInCell="1" allowOverlap="1" wp14:anchorId="361E54AA" wp14:editId="36236BE4">
              <wp:simplePos x="914400" y="450850"/>
              <wp:positionH relativeFrom="page">
                <wp:align>center</wp:align>
              </wp:positionH>
              <wp:positionV relativeFrom="page">
                <wp:align>top</wp:align>
              </wp:positionV>
              <wp:extent cx="551815" cy="391160"/>
              <wp:effectExtent l="0" t="0" r="635" b="8890"/>
              <wp:wrapNone/>
              <wp:docPr id="3449034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8830ED0" w14:textId="06DC3DA6"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E54A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8830ED0" w14:textId="06DC3DA6"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r w:rsidR="001326F8" w:rsidRPr="001B1F3A">
      <w:rPr>
        <w:rFonts w:eastAsia="Times New Roman" w:cs="Arial"/>
        <w:color w:val="7030A0"/>
        <w:szCs w:val="24"/>
        <w:lang w:eastAsia="en-GB"/>
      </w:rPr>
      <w:t>This is a background paper for discussion. It has not been finalised and should not be cited.</w:t>
    </w:r>
  </w:p>
  <w:p w14:paraId="24689A6F" w14:textId="77777777" w:rsidR="001326F8" w:rsidRDefault="0013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FB19" w14:textId="1CF90177" w:rsidR="00ED2FDD" w:rsidRDefault="00ED2FDD">
    <w:pPr>
      <w:pStyle w:val="Header"/>
    </w:pPr>
    <w:r>
      <w:rPr>
        <w:noProof/>
      </w:rPr>
      <mc:AlternateContent>
        <mc:Choice Requires="wps">
          <w:drawing>
            <wp:anchor distT="0" distB="0" distL="0" distR="0" simplePos="0" relativeHeight="251658244" behindDoc="0" locked="0" layoutInCell="1" allowOverlap="1" wp14:anchorId="17B9FFA2" wp14:editId="2B5B50DA">
              <wp:simplePos x="635" y="635"/>
              <wp:positionH relativeFrom="page">
                <wp:align>center</wp:align>
              </wp:positionH>
              <wp:positionV relativeFrom="page">
                <wp:align>top</wp:align>
              </wp:positionV>
              <wp:extent cx="551815" cy="391160"/>
              <wp:effectExtent l="0" t="0" r="635" b="8890"/>
              <wp:wrapNone/>
              <wp:docPr id="6641950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D97864B" w14:textId="4907C024"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9FFA2"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4D97864B" w14:textId="4907C024" w:rsidR="00ED2FDD" w:rsidRPr="00ED2FDD" w:rsidRDefault="00ED2FDD" w:rsidP="00ED2FDD">
                    <w:pPr>
                      <w:spacing w:after="0"/>
                      <w:rPr>
                        <w:rFonts w:ascii="Calibri" w:eastAsia="Calibri" w:hAnsi="Calibri" w:cs="Calibri"/>
                        <w:noProof/>
                        <w:color w:val="000000"/>
                        <w:szCs w:val="24"/>
                      </w:rPr>
                    </w:pPr>
                    <w:r w:rsidRPr="00ED2FDD">
                      <w:rPr>
                        <w:rFonts w:ascii="Calibri" w:eastAsia="Calibri" w:hAnsi="Calibri" w:cs="Calibri"/>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7C"/>
    <w:multiLevelType w:val="multilevel"/>
    <w:tmpl w:val="4B78CBC2"/>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8043C"/>
    <w:multiLevelType w:val="hybridMultilevel"/>
    <w:tmpl w:val="35AA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6CDD"/>
    <w:multiLevelType w:val="hybridMultilevel"/>
    <w:tmpl w:val="53FC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E09D9"/>
    <w:multiLevelType w:val="hybridMultilevel"/>
    <w:tmpl w:val="FB3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04719"/>
    <w:multiLevelType w:val="hybridMultilevel"/>
    <w:tmpl w:val="EEF0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07C16"/>
    <w:multiLevelType w:val="hybridMultilevel"/>
    <w:tmpl w:val="4B5C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53328"/>
    <w:multiLevelType w:val="hybridMultilevel"/>
    <w:tmpl w:val="815C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072DF"/>
    <w:multiLevelType w:val="hybridMultilevel"/>
    <w:tmpl w:val="5432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2D60"/>
    <w:multiLevelType w:val="hybridMultilevel"/>
    <w:tmpl w:val="06C2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35635"/>
    <w:multiLevelType w:val="hybridMultilevel"/>
    <w:tmpl w:val="05EA3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65932"/>
    <w:multiLevelType w:val="hybridMultilevel"/>
    <w:tmpl w:val="0218962E"/>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CC126AC"/>
    <w:multiLevelType w:val="hybridMultilevel"/>
    <w:tmpl w:val="7C00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926B3"/>
    <w:multiLevelType w:val="hybridMultilevel"/>
    <w:tmpl w:val="D53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5455D"/>
    <w:multiLevelType w:val="hybridMultilevel"/>
    <w:tmpl w:val="C51E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F638A"/>
    <w:multiLevelType w:val="multilevel"/>
    <w:tmpl w:val="00F4074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55916"/>
    <w:multiLevelType w:val="hybridMultilevel"/>
    <w:tmpl w:val="E034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95505"/>
    <w:multiLevelType w:val="hybridMultilevel"/>
    <w:tmpl w:val="92929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F5FE1"/>
    <w:multiLevelType w:val="hybridMultilevel"/>
    <w:tmpl w:val="08E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736E6"/>
    <w:multiLevelType w:val="multilevel"/>
    <w:tmpl w:val="967ED9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71285C"/>
    <w:multiLevelType w:val="hybridMultilevel"/>
    <w:tmpl w:val="0A60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221F1"/>
    <w:multiLevelType w:val="hybridMultilevel"/>
    <w:tmpl w:val="DD50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501BA"/>
    <w:multiLevelType w:val="hybridMultilevel"/>
    <w:tmpl w:val="A47A82A8"/>
    <w:lvl w:ilvl="0" w:tplc="D51C2F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B4FED"/>
    <w:multiLevelType w:val="hybridMultilevel"/>
    <w:tmpl w:val="EA3456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94DF5"/>
    <w:multiLevelType w:val="hybridMultilevel"/>
    <w:tmpl w:val="FD46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92411"/>
    <w:multiLevelType w:val="hybridMultilevel"/>
    <w:tmpl w:val="CDD8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76412"/>
    <w:multiLevelType w:val="multilevel"/>
    <w:tmpl w:val="80ACC084"/>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150444"/>
    <w:multiLevelType w:val="hybridMultilevel"/>
    <w:tmpl w:val="82E6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15632"/>
    <w:multiLevelType w:val="hybridMultilevel"/>
    <w:tmpl w:val="08FC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71ACF"/>
    <w:multiLevelType w:val="multilevel"/>
    <w:tmpl w:val="764E1544"/>
    <w:lvl w:ilvl="0">
      <w:start w:val="7"/>
      <w:numFmt w:val="decimal"/>
      <w:lvlText w:val="%1"/>
      <w:lvlJc w:val="left"/>
      <w:pPr>
        <w:ind w:left="525" w:hanging="525"/>
      </w:pPr>
      <w:rPr>
        <w:rFonts w:cstheme="majorBidi" w:hint="default"/>
      </w:rPr>
    </w:lvl>
    <w:lvl w:ilvl="1">
      <w:start w:val="1"/>
      <w:numFmt w:val="decimal"/>
      <w:lvlText w:val="%1.%2"/>
      <w:lvlJc w:val="left"/>
      <w:pPr>
        <w:ind w:left="525" w:hanging="525"/>
      </w:pPr>
      <w:rPr>
        <w:rFonts w:cstheme="majorBidi" w:hint="default"/>
      </w:rPr>
    </w:lvl>
    <w:lvl w:ilvl="2">
      <w:start w:val="6"/>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9" w15:restartNumberingAfterBreak="0">
    <w:nsid w:val="559F0F8E"/>
    <w:multiLevelType w:val="hybridMultilevel"/>
    <w:tmpl w:val="FB8CDD54"/>
    <w:lvl w:ilvl="0" w:tplc="1E587EE6">
      <w:start w:val="1"/>
      <w:numFmt w:val="decimal"/>
      <w:lvlText w:val="%1."/>
      <w:lvlJc w:val="left"/>
      <w:pPr>
        <w:ind w:left="2771" w:hanging="360"/>
      </w:pPr>
      <w:rPr>
        <w:rFonts w:ascii="Arial" w:hAnsi="Arial"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B42161"/>
    <w:multiLevelType w:val="hybridMultilevel"/>
    <w:tmpl w:val="FA4E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22933"/>
    <w:multiLevelType w:val="hybridMultilevel"/>
    <w:tmpl w:val="7A0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F169A"/>
    <w:multiLevelType w:val="multilevel"/>
    <w:tmpl w:val="A192ED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E72D35"/>
    <w:multiLevelType w:val="hybridMultilevel"/>
    <w:tmpl w:val="06AA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EF66A5"/>
    <w:multiLevelType w:val="hybridMultilevel"/>
    <w:tmpl w:val="3398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C37D0"/>
    <w:multiLevelType w:val="hybridMultilevel"/>
    <w:tmpl w:val="A84C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37C01"/>
    <w:multiLevelType w:val="hybridMultilevel"/>
    <w:tmpl w:val="134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80303"/>
    <w:multiLevelType w:val="hybridMultilevel"/>
    <w:tmpl w:val="8108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6C1C78"/>
    <w:multiLevelType w:val="hybridMultilevel"/>
    <w:tmpl w:val="427E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15FE4"/>
    <w:multiLevelType w:val="hybridMultilevel"/>
    <w:tmpl w:val="E4F0845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5C0E87"/>
    <w:multiLevelType w:val="hybridMultilevel"/>
    <w:tmpl w:val="E6A4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E118FF"/>
    <w:multiLevelType w:val="multilevel"/>
    <w:tmpl w:val="312EF8BE"/>
    <w:lvl w:ilvl="0">
      <w:start w:val="8"/>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5E5CBA"/>
    <w:multiLevelType w:val="hybridMultilevel"/>
    <w:tmpl w:val="2428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46AE0"/>
    <w:multiLevelType w:val="hybridMultilevel"/>
    <w:tmpl w:val="A5A2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C82EB0"/>
    <w:multiLevelType w:val="singleLevel"/>
    <w:tmpl w:val="A192E56C"/>
    <w:lvl w:ilvl="0">
      <w:start w:val="1"/>
      <w:numFmt w:val="decimal"/>
      <w:lvlText w:val="%1."/>
      <w:lvlJc w:val="left"/>
      <w:pPr>
        <w:tabs>
          <w:tab w:val="num" w:pos="720"/>
        </w:tabs>
        <w:ind w:left="720" w:hanging="720"/>
      </w:pPr>
      <w:rPr>
        <w:rFonts w:hint="default"/>
      </w:rPr>
    </w:lvl>
  </w:abstractNum>
  <w:abstractNum w:abstractNumId="45" w15:restartNumberingAfterBreak="0">
    <w:nsid w:val="71BE45B4"/>
    <w:multiLevelType w:val="hybridMultilevel"/>
    <w:tmpl w:val="E098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85E13"/>
    <w:multiLevelType w:val="hybridMultilevel"/>
    <w:tmpl w:val="B070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8514DE"/>
    <w:multiLevelType w:val="multilevel"/>
    <w:tmpl w:val="72FEFBA8"/>
    <w:lvl w:ilvl="0">
      <w:start w:val="8"/>
      <w:numFmt w:val="decimal"/>
      <w:lvlText w:val="%1"/>
      <w:lvlJc w:val="left"/>
      <w:pPr>
        <w:ind w:left="525" w:hanging="525"/>
      </w:pPr>
      <w:rPr>
        <w:rFonts w:cstheme="majorBidi" w:hint="default"/>
      </w:rPr>
    </w:lvl>
    <w:lvl w:ilvl="1">
      <w:start w:val="1"/>
      <w:numFmt w:val="decimal"/>
      <w:lvlText w:val="%1.%2"/>
      <w:lvlJc w:val="left"/>
      <w:pPr>
        <w:ind w:left="525" w:hanging="525"/>
      </w:pPr>
      <w:rPr>
        <w:rFonts w:cstheme="majorBidi" w:hint="default"/>
      </w:rPr>
    </w:lvl>
    <w:lvl w:ilvl="2">
      <w:start w:val="5"/>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8" w15:restartNumberingAfterBreak="0">
    <w:nsid w:val="7B71668D"/>
    <w:multiLevelType w:val="hybridMultilevel"/>
    <w:tmpl w:val="F4ECC57E"/>
    <w:lvl w:ilvl="0" w:tplc="D08043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64EB06"/>
    <w:multiLevelType w:val="hybridMultilevel"/>
    <w:tmpl w:val="AE0C6D9E"/>
    <w:lvl w:ilvl="0" w:tplc="A21A664C">
      <w:start w:val="1"/>
      <w:numFmt w:val="decimal"/>
      <w:lvlText w:val="%1."/>
      <w:lvlJc w:val="left"/>
      <w:pPr>
        <w:ind w:left="720" w:hanging="360"/>
      </w:pPr>
    </w:lvl>
    <w:lvl w:ilvl="1" w:tplc="101EC444">
      <w:start w:val="1"/>
      <w:numFmt w:val="lowerLetter"/>
      <w:lvlText w:val="%2."/>
      <w:lvlJc w:val="left"/>
      <w:pPr>
        <w:ind w:left="1440" w:hanging="360"/>
      </w:pPr>
    </w:lvl>
    <w:lvl w:ilvl="2" w:tplc="F9CA4FB0">
      <w:start w:val="1"/>
      <w:numFmt w:val="lowerRoman"/>
      <w:lvlText w:val="%3."/>
      <w:lvlJc w:val="right"/>
      <w:pPr>
        <w:ind w:left="2160" w:hanging="180"/>
      </w:pPr>
    </w:lvl>
    <w:lvl w:ilvl="3" w:tplc="87F41282">
      <w:start w:val="1"/>
      <w:numFmt w:val="decimal"/>
      <w:lvlText w:val="%4."/>
      <w:lvlJc w:val="left"/>
      <w:pPr>
        <w:ind w:left="2880" w:hanging="360"/>
      </w:pPr>
    </w:lvl>
    <w:lvl w:ilvl="4" w:tplc="4BDEFC12">
      <w:start w:val="1"/>
      <w:numFmt w:val="lowerLetter"/>
      <w:lvlText w:val="%5."/>
      <w:lvlJc w:val="left"/>
      <w:pPr>
        <w:ind w:left="3600" w:hanging="360"/>
      </w:pPr>
    </w:lvl>
    <w:lvl w:ilvl="5" w:tplc="E304959E">
      <w:start w:val="1"/>
      <w:numFmt w:val="lowerRoman"/>
      <w:lvlText w:val="%6."/>
      <w:lvlJc w:val="right"/>
      <w:pPr>
        <w:ind w:left="4320" w:hanging="180"/>
      </w:pPr>
    </w:lvl>
    <w:lvl w:ilvl="6" w:tplc="4F20D07A">
      <w:start w:val="1"/>
      <w:numFmt w:val="decimal"/>
      <w:lvlText w:val="%7."/>
      <w:lvlJc w:val="left"/>
      <w:pPr>
        <w:ind w:left="5040" w:hanging="360"/>
      </w:pPr>
    </w:lvl>
    <w:lvl w:ilvl="7" w:tplc="70B68F48">
      <w:start w:val="1"/>
      <w:numFmt w:val="lowerLetter"/>
      <w:lvlText w:val="%8."/>
      <w:lvlJc w:val="left"/>
      <w:pPr>
        <w:ind w:left="5760" w:hanging="360"/>
      </w:pPr>
    </w:lvl>
    <w:lvl w:ilvl="8" w:tplc="5DAE5CF8">
      <w:start w:val="1"/>
      <w:numFmt w:val="lowerRoman"/>
      <w:lvlText w:val="%9."/>
      <w:lvlJc w:val="right"/>
      <w:pPr>
        <w:ind w:left="6480" w:hanging="180"/>
      </w:pPr>
    </w:lvl>
  </w:abstractNum>
  <w:abstractNum w:abstractNumId="50" w15:restartNumberingAfterBreak="0">
    <w:nsid w:val="7D771898"/>
    <w:multiLevelType w:val="hybridMultilevel"/>
    <w:tmpl w:val="67F00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163506"/>
    <w:multiLevelType w:val="multilevel"/>
    <w:tmpl w:val="D6DEAC66"/>
    <w:lvl w:ilvl="0">
      <w:start w:val="7"/>
      <w:numFmt w:val="decimal"/>
      <w:lvlText w:val="%1"/>
      <w:lvlJc w:val="left"/>
      <w:pPr>
        <w:ind w:left="525" w:hanging="525"/>
      </w:pPr>
      <w:rPr>
        <w:rFonts w:hint="default"/>
        <w:i/>
      </w:rPr>
    </w:lvl>
    <w:lvl w:ilvl="1">
      <w:start w:val="1"/>
      <w:numFmt w:val="decimal"/>
      <w:lvlText w:val="%1.%2"/>
      <w:lvlJc w:val="left"/>
      <w:pPr>
        <w:ind w:left="525" w:hanging="525"/>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16cid:durableId="1729914963">
    <w:abstractNumId w:val="22"/>
  </w:num>
  <w:num w:numId="2" w16cid:durableId="1902666804">
    <w:abstractNumId w:val="29"/>
  </w:num>
  <w:num w:numId="3" w16cid:durableId="492373847">
    <w:abstractNumId w:val="13"/>
  </w:num>
  <w:num w:numId="4" w16cid:durableId="429275801">
    <w:abstractNumId w:val="5"/>
  </w:num>
  <w:num w:numId="5" w16cid:durableId="1707834369">
    <w:abstractNumId w:val="40"/>
  </w:num>
  <w:num w:numId="6" w16cid:durableId="1091584135">
    <w:abstractNumId w:val="36"/>
  </w:num>
  <w:num w:numId="7" w16cid:durableId="102582643">
    <w:abstractNumId w:val="42"/>
  </w:num>
  <w:num w:numId="8" w16cid:durableId="1840189104">
    <w:abstractNumId w:val="15"/>
  </w:num>
  <w:num w:numId="9" w16cid:durableId="1383359515">
    <w:abstractNumId w:val="11"/>
  </w:num>
  <w:num w:numId="10" w16cid:durableId="1320692198">
    <w:abstractNumId w:val="1"/>
  </w:num>
  <w:num w:numId="11" w16cid:durableId="246304410">
    <w:abstractNumId w:val="12"/>
  </w:num>
  <w:num w:numId="12" w16cid:durableId="373310345">
    <w:abstractNumId w:val="3"/>
  </w:num>
  <w:num w:numId="13" w16cid:durableId="1602839155">
    <w:abstractNumId w:val="6"/>
  </w:num>
  <w:num w:numId="14" w16cid:durableId="1467820805">
    <w:abstractNumId w:val="7"/>
  </w:num>
  <w:num w:numId="15" w16cid:durableId="1778256865">
    <w:abstractNumId w:val="35"/>
  </w:num>
  <w:num w:numId="16" w16cid:durableId="1310669926">
    <w:abstractNumId w:val="26"/>
  </w:num>
  <w:num w:numId="17" w16cid:durableId="337003333">
    <w:abstractNumId w:val="37"/>
  </w:num>
  <w:num w:numId="18" w16cid:durableId="1047991835">
    <w:abstractNumId w:val="20"/>
  </w:num>
  <w:num w:numId="19" w16cid:durableId="1905069691">
    <w:abstractNumId w:val="23"/>
  </w:num>
  <w:num w:numId="20" w16cid:durableId="468784269">
    <w:abstractNumId w:val="2"/>
  </w:num>
  <w:num w:numId="21" w16cid:durableId="2028019480">
    <w:abstractNumId w:val="8"/>
  </w:num>
  <w:num w:numId="22" w16cid:durableId="280645977">
    <w:abstractNumId w:val="46"/>
  </w:num>
  <w:num w:numId="23" w16cid:durableId="2042973373">
    <w:abstractNumId w:val="32"/>
  </w:num>
  <w:num w:numId="24" w16cid:durableId="527330698">
    <w:abstractNumId w:val="14"/>
  </w:num>
  <w:num w:numId="25" w16cid:durableId="267666772">
    <w:abstractNumId w:val="25"/>
  </w:num>
  <w:num w:numId="26" w16cid:durableId="681978324">
    <w:abstractNumId w:val="0"/>
  </w:num>
  <w:num w:numId="27" w16cid:durableId="512039448">
    <w:abstractNumId w:val="27"/>
  </w:num>
  <w:num w:numId="28" w16cid:durableId="187375670">
    <w:abstractNumId w:val="43"/>
  </w:num>
  <w:num w:numId="29" w16cid:durableId="1676880643">
    <w:abstractNumId w:val="34"/>
  </w:num>
  <w:num w:numId="30" w16cid:durableId="831799431">
    <w:abstractNumId w:val="17"/>
  </w:num>
  <w:num w:numId="31" w16cid:durableId="524289800">
    <w:abstractNumId w:val="45"/>
  </w:num>
  <w:num w:numId="32" w16cid:durableId="1953048613">
    <w:abstractNumId w:val="31"/>
  </w:num>
  <w:num w:numId="33" w16cid:durableId="365833701">
    <w:abstractNumId w:val="41"/>
  </w:num>
  <w:num w:numId="34" w16cid:durableId="1065419477">
    <w:abstractNumId w:val="33"/>
  </w:num>
  <w:num w:numId="35" w16cid:durableId="239565200">
    <w:abstractNumId w:val="38"/>
  </w:num>
  <w:num w:numId="36" w16cid:durableId="2104495511">
    <w:abstractNumId w:val="47"/>
  </w:num>
  <w:num w:numId="37" w16cid:durableId="1825468784">
    <w:abstractNumId w:val="4"/>
  </w:num>
  <w:num w:numId="38" w16cid:durableId="932129798">
    <w:abstractNumId w:val="18"/>
  </w:num>
  <w:num w:numId="39" w16cid:durableId="739719388">
    <w:abstractNumId w:val="51"/>
  </w:num>
  <w:num w:numId="40" w16cid:durableId="401828952">
    <w:abstractNumId w:val="28"/>
  </w:num>
  <w:num w:numId="41" w16cid:durableId="935407129">
    <w:abstractNumId w:val="9"/>
  </w:num>
  <w:num w:numId="42" w16cid:durableId="929505419">
    <w:abstractNumId w:val="16"/>
  </w:num>
  <w:num w:numId="43" w16cid:durableId="984354637">
    <w:abstractNumId w:val="44"/>
  </w:num>
  <w:num w:numId="44" w16cid:durableId="1030186387">
    <w:abstractNumId w:val="10"/>
  </w:num>
  <w:num w:numId="45" w16cid:durableId="988096560">
    <w:abstractNumId w:val="49"/>
  </w:num>
  <w:num w:numId="46" w16cid:durableId="1736390575">
    <w:abstractNumId w:val="21"/>
  </w:num>
  <w:num w:numId="47" w16cid:durableId="1522209721">
    <w:abstractNumId w:val="39"/>
  </w:num>
  <w:num w:numId="48" w16cid:durableId="1414158880">
    <w:abstractNumId w:val="30"/>
  </w:num>
  <w:num w:numId="49" w16cid:durableId="1828128559">
    <w:abstractNumId w:val="19"/>
  </w:num>
  <w:num w:numId="50" w16cid:durableId="1834376523">
    <w:abstractNumId w:val="24"/>
  </w:num>
  <w:num w:numId="51" w16cid:durableId="785733036">
    <w:abstractNumId w:val="48"/>
  </w:num>
  <w:num w:numId="52" w16cid:durableId="350032516">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68"/>
    <w:rsid w:val="00000307"/>
    <w:rsid w:val="000005F2"/>
    <w:rsid w:val="00000AF9"/>
    <w:rsid w:val="00000B02"/>
    <w:rsid w:val="00000BF9"/>
    <w:rsid w:val="00000C17"/>
    <w:rsid w:val="00000F9C"/>
    <w:rsid w:val="000013D0"/>
    <w:rsid w:val="000014DB"/>
    <w:rsid w:val="00001529"/>
    <w:rsid w:val="0000152A"/>
    <w:rsid w:val="000016A1"/>
    <w:rsid w:val="000018CC"/>
    <w:rsid w:val="00001911"/>
    <w:rsid w:val="00001930"/>
    <w:rsid w:val="000019BD"/>
    <w:rsid w:val="00001C5A"/>
    <w:rsid w:val="0000262C"/>
    <w:rsid w:val="000028D7"/>
    <w:rsid w:val="00003015"/>
    <w:rsid w:val="0000302C"/>
    <w:rsid w:val="000034A4"/>
    <w:rsid w:val="00003898"/>
    <w:rsid w:val="00003903"/>
    <w:rsid w:val="00003B15"/>
    <w:rsid w:val="00003B5E"/>
    <w:rsid w:val="00003C2A"/>
    <w:rsid w:val="00003CB8"/>
    <w:rsid w:val="00003D55"/>
    <w:rsid w:val="00003D64"/>
    <w:rsid w:val="00004873"/>
    <w:rsid w:val="00004E99"/>
    <w:rsid w:val="00005316"/>
    <w:rsid w:val="00005A54"/>
    <w:rsid w:val="00005D74"/>
    <w:rsid w:val="00005F91"/>
    <w:rsid w:val="0000652E"/>
    <w:rsid w:val="00006C6B"/>
    <w:rsid w:val="00006E55"/>
    <w:rsid w:val="00007075"/>
    <w:rsid w:val="00007100"/>
    <w:rsid w:val="00007154"/>
    <w:rsid w:val="000072F0"/>
    <w:rsid w:val="0000750C"/>
    <w:rsid w:val="000075A5"/>
    <w:rsid w:val="00007737"/>
    <w:rsid w:val="0000798F"/>
    <w:rsid w:val="0001005E"/>
    <w:rsid w:val="000102BE"/>
    <w:rsid w:val="0001051A"/>
    <w:rsid w:val="00010C71"/>
    <w:rsid w:val="00010D5A"/>
    <w:rsid w:val="00010F42"/>
    <w:rsid w:val="000114C4"/>
    <w:rsid w:val="0001168E"/>
    <w:rsid w:val="00011878"/>
    <w:rsid w:val="00011ABC"/>
    <w:rsid w:val="00011DB5"/>
    <w:rsid w:val="00011E52"/>
    <w:rsid w:val="000120E5"/>
    <w:rsid w:val="0001366E"/>
    <w:rsid w:val="00013884"/>
    <w:rsid w:val="00013A96"/>
    <w:rsid w:val="00014769"/>
    <w:rsid w:val="000149F9"/>
    <w:rsid w:val="00014B41"/>
    <w:rsid w:val="00014CC2"/>
    <w:rsid w:val="00014D70"/>
    <w:rsid w:val="00014DD4"/>
    <w:rsid w:val="00015179"/>
    <w:rsid w:val="00015577"/>
    <w:rsid w:val="0001557A"/>
    <w:rsid w:val="00015703"/>
    <w:rsid w:val="000158E1"/>
    <w:rsid w:val="00015900"/>
    <w:rsid w:val="0001590B"/>
    <w:rsid w:val="00015A58"/>
    <w:rsid w:val="00015C15"/>
    <w:rsid w:val="0001617D"/>
    <w:rsid w:val="000161CD"/>
    <w:rsid w:val="0001636F"/>
    <w:rsid w:val="000163DF"/>
    <w:rsid w:val="00016900"/>
    <w:rsid w:val="00016A67"/>
    <w:rsid w:val="000173A5"/>
    <w:rsid w:val="0001741D"/>
    <w:rsid w:val="000176DF"/>
    <w:rsid w:val="00017830"/>
    <w:rsid w:val="00017AE2"/>
    <w:rsid w:val="00017E89"/>
    <w:rsid w:val="0002015B"/>
    <w:rsid w:val="000201E3"/>
    <w:rsid w:val="0002049D"/>
    <w:rsid w:val="0002096B"/>
    <w:rsid w:val="00020D96"/>
    <w:rsid w:val="00021083"/>
    <w:rsid w:val="00021926"/>
    <w:rsid w:val="000219C8"/>
    <w:rsid w:val="00021B6F"/>
    <w:rsid w:val="00021C29"/>
    <w:rsid w:val="000220C3"/>
    <w:rsid w:val="00022723"/>
    <w:rsid w:val="000228BB"/>
    <w:rsid w:val="00022B2B"/>
    <w:rsid w:val="000230E9"/>
    <w:rsid w:val="00023117"/>
    <w:rsid w:val="00023163"/>
    <w:rsid w:val="0002352C"/>
    <w:rsid w:val="00023555"/>
    <w:rsid w:val="000239FB"/>
    <w:rsid w:val="00023C55"/>
    <w:rsid w:val="00023D27"/>
    <w:rsid w:val="00023DF7"/>
    <w:rsid w:val="00024569"/>
    <w:rsid w:val="000247DC"/>
    <w:rsid w:val="00024C4B"/>
    <w:rsid w:val="000254D8"/>
    <w:rsid w:val="00025A6F"/>
    <w:rsid w:val="00025A76"/>
    <w:rsid w:val="00025E34"/>
    <w:rsid w:val="0002611C"/>
    <w:rsid w:val="000263F5"/>
    <w:rsid w:val="000266F7"/>
    <w:rsid w:val="000269CC"/>
    <w:rsid w:val="000272F3"/>
    <w:rsid w:val="00027522"/>
    <w:rsid w:val="0002752F"/>
    <w:rsid w:val="0002773A"/>
    <w:rsid w:val="000277E8"/>
    <w:rsid w:val="000278C5"/>
    <w:rsid w:val="00027997"/>
    <w:rsid w:val="00027ABC"/>
    <w:rsid w:val="000300CA"/>
    <w:rsid w:val="00030230"/>
    <w:rsid w:val="00030670"/>
    <w:rsid w:val="0003124D"/>
    <w:rsid w:val="000312C5"/>
    <w:rsid w:val="000312E0"/>
    <w:rsid w:val="00031369"/>
    <w:rsid w:val="00031A3B"/>
    <w:rsid w:val="00031E6A"/>
    <w:rsid w:val="00032751"/>
    <w:rsid w:val="00032E27"/>
    <w:rsid w:val="00032F09"/>
    <w:rsid w:val="00033527"/>
    <w:rsid w:val="0003390F"/>
    <w:rsid w:val="00033A73"/>
    <w:rsid w:val="00033D91"/>
    <w:rsid w:val="00033F46"/>
    <w:rsid w:val="00034057"/>
    <w:rsid w:val="00034152"/>
    <w:rsid w:val="000348ED"/>
    <w:rsid w:val="000349B9"/>
    <w:rsid w:val="000349F2"/>
    <w:rsid w:val="00034A20"/>
    <w:rsid w:val="0003513A"/>
    <w:rsid w:val="0003528F"/>
    <w:rsid w:val="000353D6"/>
    <w:rsid w:val="000355E3"/>
    <w:rsid w:val="000357D8"/>
    <w:rsid w:val="00035982"/>
    <w:rsid w:val="00035DF7"/>
    <w:rsid w:val="00035E21"/>
    <w:rsid w:val="00035EF9"/>
    <w:rsid w:val="00036003"/>
    <w:rsid w:val="00036391"/>
    <w:rsid w:val="000367C5"/>
    <w:rsid w:val="000369A7"/>
    <w:rsid w:val="00036FB1"/>
    <w:rsid w:val="000370BA"/>
    <w:rsid w:val="000371C9"/>
    <w:rsid w:val="00037472"/>
    <w:rsid w:val="00037678"/>
    <w:rsid w:val="0003795C"/>
    <w:rsid w:val="00040295"/>
    <w:rsid w:val="000406BC"/>
    <w:rsid w:val="00041016"/>
    <w:rsid w:val="00041463"/>
    <w:rsid w:val="00041703"/>
    <w:rsid w:val="00041762"/>
    <w:rsid w:val="000417D8"/>
    <w:rsid w:val="00041A92"/>
    <w:rsid w:val="0004284E"/>
    <w:rsid w:val="00042DBF"/>
    <w:rsid w:val="00043335"/>
    <w:rsid w:val="000437DA"/>
    <w:rsid w:val="000438DE"/>
    <w:rsid w:val="00043A4A"/>
    <w:rsid w:val="00043C6A"/>
    <w:rsid w:val="00043D36"/>
    <w:rsid w:val="00043DD3"/>
    <w:rsid w:val="00043FFC"/>
    <w:rsid w:val="00044110"/>
    <w:rsid w:val="000442C4"/>
    <w:rsid w:val="000443B5"/>
    <w:rsid w:val="000445B2"/>
    <w:rsid w:val="00044611"/>
    <w:rsid w:val="000446AA"/>
    <w:rsid w:val="000447B9"/>
    <w:rsid w:val="000447FD"/>
    <w:rsid w:val="00044C51"/>
    <w:rsid w:val="00044D52"/>
    <w:rsid w:val="00044EAD"/>
    <w:rsid w:val="00045024"/>
    <w:rsid w:val="000450D5"/>
    <w:rsid w:val="00045188"/>
    <w:rsid w:val="000452FC"/>
    <w:rsid w:val="0004551F"/>
    <w:rsid w:val="000458FF"/>
    <w:rsid w:val="00045903"/>
    <w:rsid w:val="00045944"/>
    <w:rsid w:val="00045A44"/>
    <w:rsid w:val="00045AE8"/>
    <w:rsid w:val="00045AFE"/>
    <w:rsid w:val="00045FC4"/>
    <w:rsid w:val="000461D2"/>
    <w:rsid w:val="00046AAC"/>
    <w:rsid w:val="00046B24"/>
    <w:rsid w:val="00046B96"/>
    <w:rsid w:val="00046D8A"/>
    <w:rsid w:val="00046DEE"/>
    <w:rsid w:val="00046F19"/>
    <w:rsid w:val="00046FD9"/>
    <w:rsid w:val="00047753"/>
    <w:rsid w:val="00047B4B"/>
    <w:rsid w:val="00047B96"/>
    <w:rsid w:val="00050254"/>
    <w:rsid w:val="000509A8"/>
    <w:rsid w:val="00050B2F"/>
    <w:rsid w:val="00050CAA"/>
    <w:rsid w:val="0005143D"/>
    <w:rsid w:val="0005144C"/>
    <w:rsid w:val="00051720"/>
    <w:rsid w:val="00051814"/>
    <w:rsid w:val="00051893"/>
    <w:rsid w:val="00052227"/>
    <w:rsid w:val="00052288"/>
    <w:rsid w:val="000523BE"/>
    <w:rsid w:val="0005248A"/>
    <w:rsid w:val="00052AE9"/>
    <w:rsid w:val="00052EDD"/>
    <w:rsid w:val="00052F2F"/>
    <w:rsid w:val="00053478"/>
    <w:rsid w:val="00053498"/>
    <w:rsid w:val="0005361D"/>
    <w:rsid w:val="00053715"/>
    <w:rsid w:val="00053849"/>
    <w:rsid w:val="00053DB9"/>
    <w:rsid w:val="0005416B"/>
    <w:rsid w:val="00054CD5"/>
    <w:rsid w:val="0005510E"/>
    <w:rsid w:val="0005527E"/>
    <w:rsid w:val="00055546"/>
    <w:rsid w:val="00055BD8"/>
    <w:rsid w:val="00055CF0"/>
    <w:rsid w:val="000561EE"/>
    <w:rsid w:val="00056307"/>
    <w:rsid w:val="00056386"/>
    <w:rsid w:val="00056478"/>
    <w:rsid w:val="000566FA"/>
    <w:rsid w:val="00056C06"/>
    <w:rsid w:val="00056EFC"/>
    <w:rsid w:val="000571A0"/>
    <w:rsid w:val="000573A3"/>
    <w:rsid w:val="0005777E"/>
    <w:rsid w:val="000577CC"/>
    <w:rsid w:val="00057903"/>
    <w:rsid w:val="00057D6B"/>
    <w:rsid w:val="00060194"/>
    <w:rsid w:val="000602FA"/>
    <w:rsid w:val="000604FE"/>
    <w:rsid w:val="00060547"/>
    <w:rsid w:val="000605A0"/>
    <w:rsid w:val="00060649"/>
    <w:rsid w:val="000609A9"/>
    <w:rsid w:val="00060AF9"/>
    <w:rsid w:val="00060E0F"/>
    <w:rsid w:val="00060E3D"/>
    <w:rsid w:val="00060FEF"/>
    <w:rsid w:val="00061E3F"/>
    <w:rsid w:val="00062014"/>
    <w:rsid w:val="000625D1"/>
    <w:rsid w:val="00062B89"/>
    <w:rsid w:val="0006300E"/>
    <w:rsid w:val="0006350A"/>
    <w:rsid w:val="00063627"/>
    <w:rsid w:val="00063642"/>
    <w:rsid w:val="000638AB"/>
    <w:rsid w:val="00063987"/>
    <w:rsid w:val="00063A2F"/>
    <w:rsid w:val="00063CBB"/>
    <w:rsid w:val="00063D1A"/>
    <w:rsid w:val="00063F1A"/>
    <w:rsid w:val="0006409B"/>
    <w:rsid w:val="000643AE"/>
    <w:rsid w:val="000646C5"/>
    <w:rsid w:val="00064A7B"/>
    <w:rsid w:val="00064A92"/>
    <w:rsid w:val="00064DE1"/>
    <w:rsid w:val="00064DF8"/>
    <w:rsid w:val="00064F1E"/>
    <w:rsid w:val="00064FDD"/>
    <w:rsid w:val="0006504A"/>
    <w:rsid w:val="0006506D"/>
    <w:rsid w:val="000650E2"/>
    <w:rsid w:val="000652FC"/>
    <w:rsid w:val="00065520"/>
    <w:rsid w:val="000659A4"/>
    <w:rsid w:val="00065B36"/>
    <w:rsid w:val="00065E93"/>
    <w:rsid w:val="0006608E"/>
    <w:rsid w:val="0006614C"/>
    <w:rsid w:val="0006648F"/>
    <w:rsid w:val="000664D7"/>
    <w:rsid w:val="000664E6"/>
    <w:rsid w:val="000669AA"/>
    <w:rsid w:val="00066A01"/>
    <w:rsid w:val="0006739F"/>
    <w:rsid w:val="00067567"/>
    <w:rsid w:val="000676C5"/>
    <w:rsid w:val="00067777"/>
    <w:rsid w:val="00067803"/>
    <w:rsid w:val="00067BDF"/>
    <w:rsid w:val="00067C91"/>
    <w:rsid w:val="00067DD3"/>
    <w:rsid w:val="000700D5"/>
    <w:rsid w:val="0007059A"/>
    <w:rsid w:val="000706C5"/>
    <w:rsid w:val="000706F8"/>
    <w:rsid w:val="00070778"/>
    <w:rsid w:val="0007093A"/>
    <w:rsid w:val="00070997"/>
    <w:rsid w:val="00070BAE"/>
    <w:rsid w:val="00070DBF"/>
    <w:rsid w:val="0007114D"/>
    <w:rsid w:val="000711FE"/>
    <w:rsid w:val="00071291"/>
    <w:rsid w:val="000714BA"/>
    <w:rsid w:val="00071A7C"/>
    <w:rsid w:val="00071CFA"/>
    <w:rsid w:val="00071F08"/>
    <w:rsid w:val="00072080"/>
    <w:rsid w:val="00072879"/>
    <w:rsid w:val="00072DFC"/>
    <w:rsid w:val="00072E9B"/>
    <w:rsid w:val="00072EB5"/>
    <w:rsid w:val="00072F31"/>
    <w:rsid w:val="00072F94"/>
    <w:rsid w:val="000732B2"/>
    <w:rsid w:val="0007332D"/>
    <w:rsid w:val="00073757"/>
    <w:rsid w:val="000737AC"/>
    <w:rsid w:val="0007380A"/>
    <w:rsid w:val="00073857"/>
    <w:rsid w:val="000738FC"/>
    <w:rsid w:val="0007443B"/>
    <w:rsid w:val="000745AC"/>
    <w:rsid w:val="000745E7"/>
    <w:rsid w:val="00074774"/>
    <w:rsid w:val="00074C14"/>
    <w:rsid w:val="00074DA8"/>
    <w:rsid w:val="0007504D"/>
    <w:rsid w:val="0007558A"/>
    <w:rsid w:val="00075B34"/>
    <w:rsid w:val="00076093"/>
    <w:rsid w:val="0007654A"/>
    <w:rsid w:val="00076603"/>
    <w:rsid w:val="000767E8"/>
    <w:rsid w:val="00076CEE"/>
    <w:rsid w:val="00076EC4"/>
    <w:rsid w:val="00076FE7"/>
    <w:rsid w:val="00077151"/>
    <w:rsid w:val="00077447"/>
    <w:rsid w:val="000774C5"/>
    <w:rsid w:val="0007762B"/>
    <w:rsid w:val="00077881"/>
    <w:rsid w:val="00077BF0"/>
    <w:rsid w:val="00077EA4"/>
    <w:rsid w:val="00077F8D"/>
    <w:rsid w:val="00080388"/>
    <w:rsid w:val="00080536"/>
    <w:rsid w:val="00080603"/>
    <w:rsid w:val="0008063E"/>
    <w:rsid w:val="00080B53"/>
    <w:rsid w:val="00081219"/>
    <w:rsid w:val="0008133A"/>
    <w:rsid w:val="00081855"/>
    <w:rsid w:val="00081E51"/>
    <w:rsid w:val="00082267"/>
    <w:rsid w:val="00082317"/>
    <w:rsid w:val="00082488"/>
    <w:rsid w:val="00082539"/>
    <w:rsid w:val="0008254D"/>
    <w:rsid w:val="000826BB"/>
    <w:rsid w:val="00083028"/>
    <w:rsid w:val="0008347B"/>
    <w:rsid w:val="000838A6"/>
    <w:rsid w:val="00083BAF"/>
    <w:rsid w:val="00084181"/>
    <w:rsid w:val="00084329"/>
    <w:rsid w:val="00084740"/>
    <w:rsid w:val="000848DE"/>
    <w:rsid w:val="00084A56"/>
    <w:rsid w:val="00084D3F"/>
    <w:rsid w:val="00085175"/>
    <w:rsid w:val="0008521D"/>
    <w:rsid w:val="000854B6"/>
    <w:rsid w:val="00085C27"/>
    <w:rsid w:val="00085CB1"/>
    <w:rsid w:val="00085DE6"/>
    <w:rsid w:val="00085DF5"/>
    <w:rsid w:val="00085E08"/>
    <w:rsid w:val="00086071"/>
    <w:rsid w:val="00086225"/>
    <w:rsid w:val="00086644"/>
    <w:rsid w:val="00086672"/>
    <w:rsid w:val="000866B3"/>
    <w:rsid w:val="00087028"/>
    <w:rsid w:val="00087260"/>
    <w:rsid w:val="000873C0"/>
    <w:rsid w:val="0008745A"/>
    <w:rsid w:val="00087B38"/>
    <w:rsid w:val="00087EB0"/>
    <w:rsid w:val="00087FF0"/>
    <w:rsid w:val="0009015B"/>
    <w:rsid w:val="0009024A"/>
    <w:rsid w:val="00090285"/>
    <w:rsid w:val="0009048C"/>
    <w:rsid w:val="00090613"/>
    <w:rsid w:val="00090618"/>
    <w:rsid w:val="00090658"/>
    <w:rsid w:val="000907F5"/>
    <w:rsid w:val="00090830"/>
    <w:rsid w:val="000909FE"/>
    <w:rsid w:val="00090BBD"/>
    <w:rsid w:val="000911A9"/>
    <w:rsid w:val="00091B18"/>
    <w:rsid w:val="00091DDF"/>
    <w:rsid w:val="00091F1E"/>
    <w:rsid w:val="00091F6B"/>
    <w:rsid w:val="00092198"/>
    <w:rsid w:val="00092221"/>
    <w:rsid w:val="000925FE"/>
    <w:rsid w:val="000927C5"/>
    <w:rsid w:val="00092814"/>
    <w:rsid w:val="00092842"/>
    <w:rsid w:val="000929BA"/>
    <w:rsid w:val="00092E85"/>
    <w:rsid w:val="00092F5A"/>
    <w:rsid w:val="00092FE3"/>
    <w:rsid w:val="00093047"/>
    <w:rsid w:val="000934DD"/>
    <w:rsid w:val="000934F8"/>
    <w:rsid w:val="00093561"/>
    <w:rsid w:val="00093B1C"/>
    <w:rsid w:val="00093E54"/>
    <w:rsid w:val="00093EA0"/>
    <w:rsid w:val="00093EF1"/>
    <w:rsid w:val="0009442F"/>
    <w:rsid w:val="00094DFB"/>
    <w:rsid w:val="00094F9B"/>
    <w:rsid w:val="00094FCB"/>
    <w:rsid w:val="0009509A"/>
    <w:rsid w:val="00095156"/>
    <w:rsid w:val="00095436"/>
    <w:rsid w:val="00095865"/>
    <w:rsid w:val="000958D8"/>
    <w:rsid w:val="00095ACC"/>
    <w:rsid w:val="00095E64"/>
    <w:rsid w:val="0009609E"/>
    <w:rsid w:val="00096123"/>
    <w:rsid w:val="00096275"/>
    <w:rsid w:val="000965DD"/>
    <w:rsid w:val="0009682C"/>
    <w:rsid w:val="000969E2"/>
    <w:rsid w:val="00096AB2"/>
    <w:rsid w:val="00096FE2"/>
    <w:rsid w:val="000970E4"/>
    <w:rsid w:val="0009748E"/>
    <w:rsid w:val="00097CF9"/>
    <w:rsid w:val="00097DAB"/>
    <w:rsid w:val="000A0508"/>
    <w:rsid w:val="000A05BC"/>
    <w:rsid w:val="000A05FA"/>
    <w:rsid w:val="000A075A"/>
    <w:rsid w:val="000A0DAA"/>
    <w:rsid w:val="000A0DC6"/>
    <w:rsid w:val="000A13CE"/>
    <w:rsid w:val="000A1457"/>
    <w:rsid w:val="000A1715"/>
    <w:rsid w:val="000A1B6E"/>
    <w:rsid w:val="000A1BB3"/>
    <w:rsid w:val="000A1E0E"/>
    <w:rsid w:val="000A1EEF"/>
    <w:rsid w:val="000A2248"/>
    <w:rsid w:val="000A26BA"/>
    <w:rsid w:val="000A2780"/>
    <w:rsid w:val="000A2B6C"/>
    <w:rsid w:val="000A2D10"/>
    <w:rsid w:val="000A2F6D"/>
    <w:rsid w:val="000A30C0"/>
    <w:rsid w:val="000A33F0"/>
    <w:rsid w:val="000A34BE"/>
    <w:rsid w:val="000A3AF5"/>
    <w:rsid w:val="000A414F"/>
    <w:rsid w:val="000A45C7"/>
    <w:rsid w:val="000A46D5"/>
    <w:rsid w:val="000A476A"/>
    <w:rsid w:val="000A493C"/>
    <w:rsid w:val="000A4D2F"/>
    <w:rsid w:val="000A5642"/>
    <w:rsid w:val="000A56F9"/>
    <w:rsid w:val="000A57D0"/>
    <w:rsid w:val="000A58C6"/>
    <w:rsid w:val="000A5AB6"/>
    <w:rsid w:val="000A6653"/>
    <w:rsid w:val="000A66D1"/>
    <w:rsid w:val="000A674B"/>
    <w:rsid w:val="000A6BF1"/>
    <w:rsid w:val="000A6D7F"/>
    <w:rsid w:val="000A6DB3"/>
    <w:rsid w:val="000A6EAF"/>
    <w:rsid w:val="000A6F57"/>
    <w:rsid w:val="000A7556"/>
    <w:rsid w:val="000A7904"/>
    <w:rsid w:val="000A791F"/>
    <w:rsid w:val="000A7A05"/>
    <w:rsid w:val="000B0080"/>
    <w:rsid w:val="000B009F"/>
    <w:rsid w:val="000B0C2D"/>
    <w:rsid w:val="000B0EFE"/>
    <w:rsid w:val="000B139C"/>
    <w:rsid w:val="000B17E5"/>
    <w:rsid w:val="000B1F87"/>
    <w:rsid w:val="000B2231"/>
    <w:rsid w:val="000B2521"/>
    <w:rsid w:val="000B2883"/>
    <w:rsid w:val="000B2ADA"/>
    <w:rsid w:val="000B2E70"/>
    <w:rsid w:val="000B3136"/>
    <w:rsid w:val="000B32ED"/>
    <w:rsid w:val="000B3528"/>
    <w:rsid w:val="000B3620"/>
    <w:rsid w:val="000B3675"/>
    <w:rsid w:val="000B421A"/>
    <w:rsid w:val="000B45ED"/>
    <w:rsid w:val="000B477D"/>
    <w:rsid w:val="000B4811"/>
    <w:rsid w:val="000B4AFC"/>
    <w:rsid w:val="000B4B02"/>
    <w:rsid w:val="000B4D5C"/>
    <w:rsid w:val="000B4E0D"/>
    <w:rsid w:val="000B4F78"/>
    <w:rsid w:val="000B5065"/>
    <w:rsid w:val="000B553A"/>
    <w:rsid w:val="000B5860"/>
    <w:rsid w:val="000B59CD"/>
    <w:rsid w:val="000B622B"/>
    <w:rsid w:val="000B66EF"/>
    <w:rsid w:val="000B682E"/>
    <w:rsid w:val="000B69CF"/>
    <w:rsid w:val="000B6B8A"/>
    <w:rsid w:val="000B6BA9"/>
    <w:rsid w:val="000B6BE5"/>
    <w:rsid w:val="000B6D65"/>
    <w:rsid w:val="000B702F"/>
    <w:rsid w:val="000B7845"/>
    <w:rsid w:val="000B790F"/>
    <w:rsid w:val="000B7CCB"/>
    <w:rsid w:val="000C05DE"/>
    <w:rsid w:val="000C0B43"/>
    <w:rsid w:val="000C0F76"/>
    <w:rsid w:val="000C153F"/>
    <w:rsid w:val="000C18E8"/>
    <w:rsid w:val="000C1B1B"/>
    <w:rsid w:val="000C1CC7"/>
    <w:rsid w:val="000C1DBD"/>
    <w:rsid w:val="000C1F17"/>
    <w:rsid w:val="000C216D"/>
    <w:rsid w:val="000C2A55"/>
    <w:rsid w:val="000C2C27"/>
    <w:rsid w:val="000C2C4A"/>
    <w:rsid w:val="000C3092"/>
    <w:rsid w:val="000C3458"/>
    <w:rsid w:val="000C3B5D"/>
    <w:rsid w:val="000C3BD6"/>
    <w:rsid w:val="000C3D99"/>
    <w:rsid w:val="000C3FDA"/>
    <w:rsid w:val="000C4467"/>
    <w:rsid w:val="000C4902"/>
    <w:rsid w:val="000C4BF7"/>
    <w:rsid w:val="000C4E16"/>
    <w:rsid w:val="000C4E97"/>
    <w:rsid w:val="000C516F"/>
    <w:rsid w:val="000C542B"/>
    <w:rsid w:val="000C5D2E"/>
    <w:rsid w:val="000C5FAA"/>
    <w:rsid w:val="000C6133"/>
    <w:rsid w:val="000C61D6"/>
    <w:rsid w:val="000C621F"/>
    <w:rsid w:val="000C62AA"/>
    <w:rsid w:val="000C62B6"/>
    <w:rsid w:val="000C68DC"/>
    <w:rsid w:val="000C6ABF"/>
    <w:rsid w:val="000C6CDE"/>
    <w:rsid w:val="000C792D"/>
    <w:rsid w:val="000C79AE"/>
    <w:rsid w:val="000C7EF9"/>
    <w:rsid w:val="000C7F24"/>
    <w:rsid w:val="000D0011"/>
    <w:rsid w:val="000D033C"/>
    <w:rsid w:val="000D0362"/>
    <w:rsid w:val="000D04A9"/>
    <w:rsid w:val="000D0637"/>
    <w:rsid w:val="000D0ED2"/>
    <w:rsid w:val="000D1731"/>
    <w:rsid w:val="000D1D08"/>
    <w:rsid w:val="000D1E3E"/>
    <w:rsid w:val="000D1E51"/>
    <w:rsid w:val="000D2038"/>
    <w:rsid w:val="000D22EF"/>
    <w:rsid w:val="000D240C"/>
    <w:rsid w:val="000D24BF"/>
    <w:rsid w:val="000D2A76"/>
    <w:rsid w:val="000D2D52"/>
    <w:rsid w:val="000D2F0F"/>
    <w:rsid w:val="000D2F93"/>
    <w:rsid w:val="000D3B29"/>
    <w:rsid w:val="000D3BD0"/>
    <w:rsid w:val="000D3D0C"/>
    <w:rsid w:val="000D3E53"/>
    <w:rsid w:val="000D3F6A"/>
    <w:rsid w:val="000D3F7E"/>
    <w:rsid w:val="000D4324"/>
    <w:rsid w:val="000D457C"/>
    <w:rsid w:val="000D46F4"/>
    <w:rsid w:val="000D49DA"/>
    <w:rsid w:val="000D4BB5"/>
    <w:rsid w:val="000D4C01"/>
    <w:rsid w:val="000D4C93"/>
    <w:rsid w:val="000D4D73"/>
    <w:rsid w:val="000D50AA"/>
    <w:rsid w:val="000D5653"/>
    <w:rsid w:val="000D59CA"/>
    <w:rsid w:val="000D5B13"/>
    <w:rsid w:val="000D6253"/>
    <w:rsid w:val="000D692C"/>
    <w:rsid w:val="000D6A1B"/>
    <w:rsid w:val="000D6B65"/>
    <w:rsid w:val="000D6CE5"/>
    <w:rsid w:val="000D6E7C"/>
    <w:rsid w:val="000D71C7"/>
    <w:rsid w:val="000D754D"/>
    <w:rsid w:val="000D75ED"/>
    <w:rsid w:val="000D7721"/>
    <w:rsid w:val="000D7FA2"/>
    <w:rsid w:val="000E05CA"/>
    <w:rsid w:val="000E0602"/>
    <w:rsid w:val="000E07B4"/>
    <w:rsid w:val="000E08A8"/>
    <w:rsid w:val="000E08C9"/>
    <w:rsid w:val="000E0F5F"/>
    <w:rsid w:val="000E1870"/>
    <w:rsid w:val="000E1A20"/>
    <w:rsid w:val="000E1A7A"/>
    <w:rsid w:val="000E204D"/>
    <w:rsid w:val="000E2155"/>
    <w:rsid w:val="000E22F5"/>
    <w:rsid w:val="000E2320"/>
    <w:rsid w:val="000E243B"/>
    <w:rsid w:val="000E292F"/>
    <w:rsid w:val="000E2964"/>
    <w:rsid w:val="000E2B58"/>
    <w:rsid w:val="000E2C82"/>
    <w:rsid w:val="000E2E36"/>
    <w:rsid w:val="000E3178"/>
    <w:rsid w:val="000E346D"/>
    <w:rsid w:val="000E3494"/>
    <w:rsid w:val="000E363C"/>
    <w:rsid w:val="000E3A6E"/>
    <w:rsid w:val="000E3DB6"/>
    <w:rsid w:val="000E3DF9"/>
    <w:rsid w:val="000E3F7F"/>
    <w:rsid w:val="000E44AA"/>
    <w:rsid w:val="000E44E1"/>
    <w:rsid w:val="000E47B1"/>
    <w:rsid w:val="000E4822"/>
    <w:rsid w:val="000E4DAC"/>
    <w:rsid w:val="000E513E"/>
    <w:rsid w:val="000E54A9"/>
    <w:rsid w:val="000E57E6"/>
    <w:rsid w:val="000E58AE"/>
    <w:rsid w:val="000E602A"/>
    <w:rsid w:val="000E6A2F"/>
    <w:rsid w:val="000E6BF1"/>
    <w:rsid w:val="000E6DD8"/>
    <w:rsid w:val="000E7566"/>
    <w:rsid w:val="000E77CC"/>
    <w:rsid w:val="000E77D9"/>
    <w:rsid w:val="000E7965"/>
    <w:rsid w:val="000E79C4"/>
    <w:rsid w:val="000E7BE7"/>
    <w:rsid w:val="000E7D95"/>
    <w:rsid w:val="000F02D5"/>
    <w:rsid w:val="000F0322"/>
    <w:rsid w:val="000F048F"/>
    <w:rsid w:val="000F0653"/>
    <w:rsid w:val="000F0A44"/>
    <w:rsid w:val="000F0A7D"/>
    <w:rsid w:val="000F0A91"/>
    <w:rsid w:val="000F0D62"/>
    <w:rsid w:val="000F0E29"/>
    <w:rsid w:val="000F0F15"/>
    <w:rsid w:val="000F1086"/>
    <w:rsid w:val="000F1095"/>
    <w:rsid w:val="000F1505"/>
    <w:rsid w:val="000F152F"/>
    <w:rsid w:val="000F1620"/>
    <w:rsid w:val="000F192A"/>
    <w:rsid w:val="000F1976"/>
    <w:rsid w:val="000F1D05"/>
    <w:rsid w:val="000F20E1"/>
    <w:rsid w:val="000F2417"/>
    <w:rsid w:val="000F2510"/>
    <w:rsid w:val="000F27E8"/>
    <w:rsid w:val="000F2898"/>
    <w:rsid w:val="000F2BD2"/>
    <w:rsid w:val="000F2BE5"/>
    <w:rsid w:val="000F2C3B"/>
    <w:rsid w:val="000F31D7"/>
    <w:rsid w:val="000F33B3"/>
    <w:rsid w:val="000F3A12"/>
    <w:rsid w:val="000F3C74"/>
    <w:rsid w:val="000F4306"/>
    <w:rsid w:val="000F45D3"/>
    <w:rsid w:val="000F482D"/>
    <w:rsid w:val="000F4A8A"/>
    <w:rsid w:val="000F4BB4"/>
    <w:rsid w:val="000F5530"/>
    <w:rsid w:val="000F5546"/>
    <w:rsid w:val="000F5BD8"/>
    <w:rsid w:val="000F5BE6"/>
    <w:rsid w:val="000F5F27"/>
    <w:rsid w:val="000F64E3"/>
    <w:rsid w:val="000F64F4"/>
    <w:rsid w:val="000F6507"/>
    <w:rsid w:val="000F7289"/>
    <w:rsid w:val="000F7631"/>
    <w:rsid w:val="000F775F"/>
    <w:rsid w:val="000F788E"/>
    <w:rsid w:val="000F7AF6"/>
    <w:rsid w:val="000F7CB1"/>
    <w:rsid w:val="000F7CE8"/>
    <w:rsid w:val="000F7E74"/>
    <w:rsid w:val="000F7EF4"/>
    <w:rsid w:val="000F7F05"/>
    <w:rsid w:val="00100562"/>
    <w:rsid w:val="00100AB7"/>
    <w:rsid w:val="00100B41"/>
    <w:rsid w:val="00100FD1"/>
    <w:rsid w:val="00101A6D"/>
    <w:rsid w:val="00101D09"/>
    <w:rsid w:val="00101D5A"/>
    <w:rsid w:val="00101D9E"/>
    <w:rsid w:val="00101E6B"/>
    <w:rsid w:val="00101F56"/>
    <w:rsid w:val="00101FFB"/>
    <w:rsid w:val="001027FD"/>
    <w:rsid w:val="00102A6D"/>
    <w:rsid w:val="001030F6"/>
    <w:rsid w:val="00103380"/>
    <w:rsid w:val="00103423"/>
    <w:rsid w:val="00103881"/>
    <w:rsid w:val="001039F5"/>
    <w:rsid w:val="00103EA7"/>
    <w:rsid w:val="00104565"/>
    <w:rsid w:val="0010461B"/>
    <w:rsid w:val="0010473D"/>
    <w:rsid w:val="001050C7"/>
    <w:rsid w:val="00105402"/>
    <w:rsid w:val="00105BFA"/>
    <w:rsid w:val="00105D00"/>
    <w:rsid w:val="00105D61"/>
    <w:rsid w:val="00105DB2"/>
    <w:rsid w:val="0010618B"/>
    <w:rsid w:val="001063E8"/>
    <w:rsid w:val="00106A15"/>
    <w:rsid w:val="00106AA7"/>
    <w:rsid w:val="00107273"/>
    <w:rsid w:val="0010732E"/>
    <w:rsid w:val="00107516"/>
    <w:rsid w:val="00107CE3"/>
    <w:rsid w:val="00107D20"/>
    <w:rsid w:val="0011014F"/>
    <w:rsid w:val="001105C9"/>
    <w:rsid w:val="00110785"/>
    <w:rsid w:val="001107A3"/>
    <w:rsid w:val="00110B86"/>
    <w:rsid w:val="0011166F"/>
    <w:rsid w:val="0011183C"/>
    <w:rsid w:val="0011188D"/>
    <w:rsid w:val="0011191B"/>
    <w:rsid w:val="00111B34"/>
    <w:rsid w:val="00111CC3"/>
    <w:rsid w:val="00112077"/>
    <w:rsid w:val="00112256"/>
    <w:rsid w:val="001124AA"/>
    <w:rsid w:val="00112873"/>
    <w:rsid w:val="00112B6C"/>
    <w:rsid w:val="00114577"/>
    <w:rsid w:val="00114620"/>
    <w:rsid w:val="00114848"/>
    <w:rsid w:val="001149CC"/>
    <w:rsid w:val="00114B6F"/>
    <w:rsid w:val="00114BC7"/>
    <w:rsid w:val="00114CD3"/>
    <w:rsid w:val="00115B67"/>
    <w:rsid w:val="00115D84"/>
    <w:rsid w:val="00115F2F"/>
    <w:rsid w:val="00115F7F"/>
    <w:rsid w:val="00116089"/>
    <w:rsid w:val="00116376"/>
    <w:rsid w:val="0011771F"/>
    <w:rsid w:val="00117756"/>
    <w:rsid w:val="00117B2D"/>
    <w:rsid w:val="00117E25"/>
    <w:rsid w:val="00117F50"/>
    <w:rsid w:val="00117FE0"/>
    <w:rsid w:val="00120028"/>
    <w:rsid w:val="00120156"/>
    <w:rsid w:val="001205F0"/>
    <w:rsid w:val="00120654"/>
    <w:rsid w:val="00120709"/>
    <w:rsid w:val="001208B1"/>
    <w:rsid w:val="0012091C"/>
    <w:rsid w:val="00120F32"/>
    <w:rsid w:val="00120FAC"/>
    <w:rsid w:val="001210BE"/>
    <w:rsid w:val="001212EC"/>
    <w:rsid w:val="0012197E"/>
    <w:rsid w:val="0012234B"/>
    <w:rsid w:val="001228CB"/>
    <w:rsid w:val="00122D61"/>
    <w:rsid w:val="00122F25"/>
    <w:rsid w:val="001230DD"/>
    <w:rsid w:val="00123191"/>
    <w:rsid w:val="00123D46"/>
    <w:rsid w:val="00123DE3"/>
    <w:rsid w:val="00124277"/>
    <w:rsid w:val="0012434F"/>
    <w:rsid w:val="0012445B"/>
    <w:rsid w:val="00124A3E"/>
    <w:rsid w:val="00124E0B"/>
    <w:rsid w:val="00124E61"/>
    <w:rsid w:val="00125078"/>
    <w:rsid w:val="001256C5"/>
    <w:rsid w:val="00125965"/>
    <w:rsid w:val="00125B59"/>
    <w:rsid w:val="00125DFB"/>
    <w:rsid w:val="0012646B"/>
    <w:rsid w:val="00126516"/>
    <w:rsid w:val="00126717"/>
    <w:rsid w:val="00127577"/>
    <w:rsid w:val="00127690"/>
    <w:rsid w:val="00127795"/>
    <w:rsid w:val="00127979"/>
    <w:rsid w:val="00127C68"/>
    <w:rsid w:val="00127EDD"/>
    <w:rsid w:val="001301D2"/>
    <w:rsid w:val="00130387"/>
    <w:rsid w:val="00130634"/>
    <w:rsid w:val="00130E07"/>
    <w:rsid w:val="00130FBB"/>
    <w:rsid w:val="0013194A"/>
    <w:rsid w:val="00131C12"/>
    <w:rsid w:val="00131CAA"/>
    <w:rsid w:val="001325F5"/>
    <w:rsid w:val="001326F8"/>
    <w:rsid w:val="00132735"/>
    <w:rsid w:val="0013284A"/>
    <w:rsid w:val="001328EE"/>
    <w:rsid w:val="00132CD0"/>
    <w:rsid w:val="0013309D"/>
    <w:rsid w:val="001331EE"/>
    <w:rsid w:val="00133246"/>
    <w:rsid w:val="00133A10"/>
    <w:rsid w:val="00133B64"/>
    <w:rsid w:val="00134027"/>
    <w:rsid w:val="0013407A"/>
    <w:rsid w:val="00134219"/>
    <w:rsid w:val="00134CEC"/>
    <w:rsid w:val="0013503E"/>
    <w:rsid w:val="0013541F"/>
    <w:rsid w:val="0013553F"/>
    <w:rsid w:val="00135815"/>
    <w:rsid w:val="00135827"/>
    <w:rsid w:val="0013592D"/>
    <w:rsid w:val="00135A31"/>
    <w:rsid w:val="00135DF6"/>
    <w:rsid w:val="00135F02"/>
    <w:rsid w:val="00136286"/>
    <w:rsid w:val="00136303"/>
    <w:rsid w:val="00136A72"/>
    <w:rsid w:val="001370F0"/>
    <w:rsid w:val="001379BE"/>
    <w:rsid w:val="00137B3E"/>
    <w:rsid w:val="0014031B"/>
    <w:rsid w:val="0014035F"/>
    <w:rsid w:val="00140513"/>
    <w:rsid w:val="0014097C"/>
    <w:rsid w:val="00140D32"/>
    <w:rsid w:val="00140F66"/>
    <w:rsid w:val="0014143D"/>
    <w:rsid w:val="001415C1"/>
    <w:rsid w:val="001418D2"/>
    <w:rsid w:val="00141D91"/>
    <w:rsid w:val="001421E5"/>
    <w:rsid w:val="00142856"/>
    <w:rsid w:val="00142890"/>
    <w:rsid w:val="00142CC8"/>
    <w:rsid w:val="001430B7"/>
    <w:rsid w:val="00143296"/>
    <w:rsid w:val="00143820"/>
    <w:rsid w:val="00143A10"/>
    <w:rsid w:val="00143A5E"/>
    <w:rsid w:val="00144103"/>
    <w:rsid w:val="001441D4"/>
    <w:rsid w:val="001445EA"/>
    <w:rsid w:val="0014492A"/>
    <w:rsid w:val="001449C9"/>
    <w:rsid w:val="00144A01"/>
    <w:rsid w:val="00144B21"/>
    <w:rsid w:val="0014507C"/>
    <w:rsid w:val="001452C2"/>
    <w:rsid w:val="00145443"/>
    <w:rsid w:val="00145668"/>
    <w:rsid w:val="001458F0"/>
    <w:rsid w:val="00145BB5"/>
    <w:rsid w:val="0014604D"/>
    <w:rsid w:val="001465D8"/>
    <w:rsid w:val="001468C4"/>
    <w:rsid w:val="00146CF0"/>
    <w:rsid w:val="00146CF7"/>
    <w:rsid w:val="00146D45"/>
    <w:rsid w:val="00146FE6"/>
    <w:rsid w:val="00147082"/>
    <w:rsid w:val="001471AC"/>
    <w:rsid w:val="00147DB1"/>
    <w:rsid w:val="001503DE"/>
    <w:rsid w:val="00150543"/>
    <w:rsid w:val="001507EA"/>
    <w:rsid w:val="00150B68"/>
    <w:rsid w:val="00150EEC"/>
    <w:rsid w:val="00151265"/>
    <w:rsid w:val="00151A0C"/>
    <w:rsid w:val="00151A19"/>
    <w:rsid w:val="00151C44"/>
    <w:rsid w:val="00151DE0"/>
    <w:rsid w:val="00151EE5"/>
    <w:rsid w:val="00152136"/>
    <w:rsid w:val="00152B52"/>
    <w:rsid w:val="00152D3D"/>
    <w:rsid w:val="0015317E"/>
    <w:rsid w:val="00153306"/>
    <w:rsid w:val="00153332"/>
    <w:rsid w:val="00153C2C"/>
    <w:rsid w:val="0015425C"/>
    <w:rsid w:val="00154438"/>
    <w:rsid w:val="00154642"/>
    <w:rsid w:val="0015497B"/>
    <w:rsid w:val="00154DA1"/>
    <w:rsid w:val="00155365"/>
    <w:rsid w:val="001553F2"/>
    <w:rsid w:val="001555AB"/>
    <w:rsid w:val="00155796"/>
    <w:rsid w:val="001557B2"/>
    <w:rsid w:val="0015588B"/>
    <w:rsid w:val="00155FAF"/>
    <w:rsid w:val="00156384"/>
    <w:rsid w:val="00156528"/>
    <w:rsid w:val="001565F3"/>
    <w:rsid w:val="001569E8"/>
    <w:rsid w:val="00156A61"/>
    <w:rsid w:val="00156B47"/>
    <w:rsid w:val="001576F0"/>
    <w:rsid w:val="001578FD"/>
    <w:rsid w:val="001579DA"/>
    <w:rsid w:val="00157A24"/>
    <w:rsid w:val="00157CE1"/>
    <w:rsid w:val="00160432"/>
    <w:rsid w:val="00160957"/>
    <w:rsid w:val="00160C5A"/>
    <w:rsid w:val="00160F0C"/>
    <w:rsid w:val="00160F95"/>
    <w:rsid w:val="001617CA"/>
    <w:rsid w:val="00161855"/>
    <w:rsid w:val="00161A1E"/>
    <w:rsid w:val="00161E21"/>
    <w:rsid w:val="001620AC"/>
    <w:rsid w:val="0016257D"/>
    <w:rsid w:val="00162596"/>
    <w:rsid w:val="0016276D"/>
    <w:rsid w:val="0016375C"/>
    <w:rsid w:val="001638BD"/>
    <w:rsid w:val="001641C2"/>
    <w:rsid w:val="001642B4"/>
    <w:rsid w:val="001646B3"/>
    <w:rsid w:val="00164B58"/>
    <w:rsid w:val="00164C37"/>
    <w:rsid w:val="00164CDD"/>
    <w:rsid w:val="00164D46"/>
    <w:rsid w:val="00164F35"/>
    <w:rsid w:val="0016547A"/>
    <w:rsid w:val="00165524"/>
    <w:rsid w:val="00165A98"/>
    <w:rsid w:val="00165DEB"/>
    <w:rsid w:val="001669BF"/>
    <w:rsid w:val="00166DD2"/>
    <w:rsid w:val="0016787C"/>
    <w:rsid w:val="00167B15"/>
    <w:rsid w:val="00167BC5"/>
    <w:rsid w:val="00170407"/>
    <w:rsid w:val="00170611"/>
    <w:rsid w:val="0017072E"/>
    <w:rsid w:val="001708D5"/>
    <w:rsid w:val="00170A57"/>
    <w:rsid w:val="00170D1E"/>
    <w:rsid w:val="00170FD6"/>
    <w:rsid w:val="00171527"/>
    <w:rsid w:val="0017179B"/>
    <w:rsid w:val="00171BD5"/>
    <w:rsid w:val="00171C77"/>
    <w:rsid w:val="00171D6F"/>
    <w:rsid w:val="00172ABF"/>
    <w:rsid w:val="00172FB0"/>
    <w:rsid w:val="0017319F"/>
    <w:rsid w:val="0017346E"/>
    <w:rsid w:val="0017369C"/>
    <w:rsid w:val="00173873"/>
    <w:rsid w:val="00173A1B"/>
    <w:rsid w:val="00173B4B"/>
    <w:rsid w:val="00173C9A"/>
    <w:rsid w:val="001740EF"/>
    <w:rsid w:val="00174423"/>
    <w:rsid w:val="00174911"/>
    <w:rsid w:val="00174F5B"/>
    <w:rsid w:val="00175204"/>
    <w:rsid w:val="0017599B"/>
    <w:rsid w:val="00175CAF"/>
    <w:rsid w:val="00175E15"/>
    <w:rsid w:val="00175F44"/>
    <w:rsid w:val="00176253"/>
    <w:rsid w:val="0017656C"/>
    <w:rsid w:val="00176711"/>
    <w:rsid w:val="00176CAF"/>
    <w:rsid w:val="00176E07"/>
    <w:rsid w:val="00176E88"/>
    <w:rsid w:val="001772D6"/>
    <w:rsid w:val="0017736F"/>
    <w:rsid w:val="00177743"/>
    <w:rsid w:val="001777AA"/>
    <w:rsid w:val="00177818"/>
    <w:rsid w:val="00177FCC"/>
    <w:rsid w:val="00180172"/>
    <w:rsid w:val="001801F2"/>
    <w:rsid w:val="001802AF"/>
    <w:rsid w:val="00180324"/>
    <w:rsid w:val="0018039F"/>
    <w:rsid w:val="001804D8"/>
    <w:rsid w:val="0018060F"/>
    <w:rsid w:val="001806E9"/>
    <w:rsid w:val="00181631"/>
    <w:rsid w:val="001817A4"/>
    <w:rsid w:val="001819ED"/>
    <w:rsid w:val="00181B90"/>
    <w:rsid w:val="00181D29"/>
    <w:rsid w:val="00181DDE"/>
    <w:rsid w:val="00181DF8"/>
    <w:rsid w:val="00182431"/>
    <w:rsid w:val="001826D1"/>
    <w:rsid w:val="0018282B"/>
    <w:rsid w:val="00182B98"/>
    <w:rsid w:val="00183356"/>
    <w:rsid w:val="00183636"/>
    <w:rsid w:val="001836EF"/>
    <w:rsid w:val="00183885"/>
    <w:rsid w:val="00183B71"/>
    <w:rsid w:val="00183B79"/>
    <w:rsid w:val="00183F14"/>
    <w:rsid w:val="0018405F"/>
    <w:rsid w:val="00184307"/>
    <w:rsid w:val="00184545"/>
    <w:rsid w:val="00184813"/>
    <w:rsid w:val="00184AF3"/>
    <w:rsid w:val="00184FC7"/>
    <w:rsid w:val="00185882"/>
    <w:rsid w:val="00185968"/>
    <w:rsid w:val="0018596C"/>
    <w:rsid w:val="00185A27"/>
    <w:rsid w:val="00185A54"/>
    <w:rsid w:val="001864EE"/>
    <w:rsid w:val="00186729"/>
    <w:rsid w:val="00186A59"/>
    <w:rsid w:val="00186E3E"/>
    <w:rsid w:val="00186F41"/>
    <w:rsid w:val="00186FC7"/>
    <w:rsid w:val="001870ED"/>
    <w:rsid w:val="0018727D"/>
    <w:rsid w:val="001874DA"/>
    <w:rsid w:val="001874E4"/>
    <w:rsid w:val="001879C5"/>
    <w:rsid w:val="00187D7C"/>
    <w:rsid w:val="00187FBE"/>
    <w:rsid w:val="00190216"/>
    <w:rsid w:val="0019040E"/>
    <w:rsid w:val="001909A1"/>
    <w:rsid w:val="0019102B"/>
    <w:rsid w:val="001910B3"/>
    <w:rsid w:val="0019155D"/>
    <w:rsid w:val="0019170F"/>
    <w:rsid w:val="00191876"/>
    <w:rsid w:val="00192253"/>
    <w:rsid w:val="001923BF"/>
    <w:rsid w:val="00192535"/>
    <w:rsid w:val="00192AF7"/>
    <w:rsid w:val="00192D8B"/>
    <w:rsid w:val="00192DA4"/>
    <w:rsid w:val="00192E52"/>
    <w:rsid w:val="0019379A"/>
    <w:rsid w:val="001937FD"/>
    <w:rsid w:val="001938A3"/>
    <w:rsid w:val="00193B1E"/>
    <w:rsid w:val="00193C16"/>
    <w:rsid w:val="00193D41"/>
    <w:rsid w:val="00193DA1"/>
    <w:rsid w:val="00194443"/>
    <w:rsid w:val="001945DF"/>
    <w:rsid w:val="0019468F"/>
    <w:rsid w:val="001948B2"/>
    <w:rsid w:val="00194A85"/>
    <w:rsid w:val="00194AF2"/>
    <w:rsid w:val="00194B42"/>
    <w:rsid w:val="00194B6F"/>
    <w:rsid w:val="00194CAD"/>
    <w:rsid w:val="0019540E"/>
    <w:rsid w:val="00195681"/>
    <w:rsid w:val="00195C8E"/>
    <w:rsid w:val="00196313"/>
    <w:rsid w:val="001964B4"/>
    <w:rsid w:val="00196833"/>
    <w:rsid w:val="001968BC"/>
    <w:rsid w:val="001969D1"/>
    <w:rsid w:val="00196BC6"/>
    <w:rsid w:val="00197249"/>
    <w:rsid w:val="001975B2"/>
    <w:rsid w:val="001977E7"/>
    <w:rsid w:val="001978D6"/>
    <w:rsid w:val="0019791B"/>
    <w:rsid w:val="00197B5B"/>
    <w:rsid w:val="00197FF9"/>
    <w:rsid w:val="001A0064"/>
    <w:rsid w:val="001A013C"/>
    <w:rsid w:val="001A0A69"/>
    <w:rsid w:val="001A0C1F"/>
    <w:rsid w:val="001A0E30"/>
    <w:rsid w:val="001A0FE3"/>
    <w:rsid w:val="001A1131"/>
    <w:rsid w:val="001A1270"/>
    <w:rsid w:val="001A13B1"/>
    <w:rsid w:val="001A1549"/>
    <w:rsid w:val="001A1A72"/>
    <w:rsid w:val="001A1B9B"/>
    <w:rsid w:val="001A1D62"/>
    <w:rsid w:val="001A1D9B"/>
    <w:rsid w:val="001A2087"/>
    <w:rsid w:val="001A262C"/>
    <w:rsid w:val="001A2A9A"/>
    <w:rsid w:val="001A2C41"/>
    <w:rsid w:val="001A2C89"/>
    <w:rsid w:val="001A2E43"/>
    <w:rsid w:val="001A2FDF"/>
    <w:rsid w:val="001A35DC"/>
    <w:rsid w:val="001A4211"/>
    <w:rsid w:val="001A45D0"/>
    <w:rsid w:val="001A472B"/>
    <w:rsid w:val="001A4B4F"/>
    <w:rsid w:val="001A5371"/>
    <w:rsid w:val="001A5397"/>
    <w:rsid w:val="001A54C3"/>
    <w:rsid w:val="001A58E1"/>
    <w:rsid w:val="001A5BFC"/>
    <w:rsid w:val="001A5C54"/>
    <w:rsid w:val="001A6094"/>
    <w:rsid w:val="001A6EC8"/>
    <w:rsid w:val="001A7A77"/>
    <w:rsid w:val="001A7D8D"/>
    <w:rsid w:val="001B0A85"/>
    <w:rsid w:val="001B0C07"/>
    <w:rsid w:val="001B19D1"/>
    <w:rsid w:val="001B19ED"/>
    <w:rsid w:val="001B1D32"/>
    <w:rsid w:val="001B1F3A"/>
    <w:rsid w:val="001B22DB"/>
    <w:rsid w:val="001B2588"/>
    <w:rsid w:val="001B40FB"/>
    <w:rsid w:val="001B42D7"/>
    <w:rsid w:val="001B498E"/>
    <w:rsid w:val="001B4D0E"/>
    <w:rsid w:val="001B535F"/>
    <w:rsid w:val="001B56B0"/>
    <w:rsid w:val="001B5D06"/>
    <w:rsid w:val="001B608C"/>
    <w:rsid w:val="001B6266"/>
    <w:rsid w:val="001B62C0"/>
    <w:rsid w:val="001B6372"/>
    <w:rsid w:val="001B63EF"/>
    <w:rsid w:val="001B6768"/>
    <w:rsid w:val="001B681C"/>
    <w:rsid w:val="001B6FF3"/>
    <w:rsid w:val="001B7026"/>
    <w:rsid w:val="001B723B"/>
    <w:rsid w:val="001B798B"/>
    <w:rsid w:val="001B7B54"/>
    <w:rsid w:val="001B7F46"/>
    <w:rsid w:val="001C004B"/>
    <w:rsid w:val="001C02EC"/>
    <w:rsid w:val="001C06CE"/>
    <w:rsid w:val="001C0AA1"/>
    <w:rsid w:val="001C0B5F"/>
    <w:rsid w:val="001C0E5C"/>
    <w:rsid w:val="001C12DF"/>
    <w:rsid w:val="001C13E7"/>
    <w:rsid w:val="001C14D3"/>
    <w:rsid w:val="001C1670"/>
    <w:rsid w:val="001C17A2"/>
    <w:rsid w:val="001C1C18"/>
    <w:rsid w:val="001C1C22"/>
    <w:rsid w:val="001C1E57"/>
    <w:rsid w:val="001C2251"/>
    <w:rsid w:val="001C23F7"/>
    <w:rsid w:val="001C2A02"/>
    <w:rsid w:val="001C2E80"/>
    <w:rsid w:val="001C2EBF"/>
    <w:rsid w:val="001C309C"/>
    <w:rsid w:val="001C32A8"/>
    <w:rsid w:val="001C32F5"/>
    <w:rsid w:val="001C3B12"/>
    <w:rsid w:val="001C3C90"/>
    <w:rsid w:val="001C3EE0"/>
    <w:rsid w:val="001C3F93"/>
    <w:rsid w:val="001C40A1"/>
    <w:rsid w:val="001C4141"/>
    <w:rsid w:val="001C4395"/>
    <w:rsid w:val="001C447E"/>
    <w:rsid w:val="001C460C"/>
    <w:rsid w:val="001C481E"/>
    <w:rsid w:val="001C4A9C"/>
    <w:rsid w:val="001C4F0A"/>
    <w:rsid w:val="001C5341"/>
    <w:rsid w:val="001C5728"/>
    <w:rsid w:val="001C5732"/>
    <w:rsid w:val="001C57F0"/>
    <w:rsid w:val="001C59B1"/>
    <w:rsid w:val="001C5C76"/>
    <w:rsid w:val="001C5D56"/>
    <w:rsid w:val="001C6366"/>
    <w:rsid w:val="001C65EF"/>
    <w:rsid w:val="001C670D"/>
    <w:rsid w:val="001C6B81"/>
    <w:rsid w:val="001C6E5E"/>
    <w:rsid w:val="001C700B"/>
    <w:rsid w:val="001C7064"/>
    <w:rsid w:val="001C70C6"/>
    <w:rsid w:val="001C7AA5"/>
    <w:rsid w:val="001D0181"/>
    <w:rsid w:val="001D073F"/>
    <w:rsid w:val="001D0769"/>
    <w:rsid w:val="001D13FD"/>
    <w:rsid w:val="001D1F0A"/>
    <w:rsid w:val="001D2E03"/>
    <w:rsid w:val="001D3252"/>
    <w:rsid w:val="001D3AD1"/>
    <w:rsid w:val="001D3D54"/>
    <w:rsid w:val="001D4006"/>
    <w:rsid w:val="001D464B"/>
    <w:rsid w:val="001D46D3"/>
    <w:rsid w:val="001D4706"/>
    <w:rsid w:val="001D4839"/>
    <w:rsid w:val="001D489A"/>
    <w:rsid w:val="001D490B"/>
    <w:rsid w:val="001D4915"/>
    <w:rsid w:val="001D49C6"/>
    <w:rsid w:val="001D4A2B"/>
    <w:rsid w:val="001D4AAC"/>
    <w:rsid w:val="001D4C2F"/>
    <w:rsid w:val="001D4C8B"/>
    <w:rsid w:val="001D4D55"/>
    <w:rsid w:val="001D54FF"/>
    <w:rsid w:val="001D5642"/>
    <w:rsid w:val="001D57F6"/>
    <w:rsid w:val="001D58CB"/>
    <w:rsid w:val="001D5CFA"/>
    <w:rsid w:val="001D5EDF"/>
    <w:rsid w:val="001D607A"/>
    <w:rsid w:val="001D6085"/>
    <w:rsid w:val="001D6683"/>
    <w:rsid w:val="001D6888"/>
    <w:rsid w:val="001D68E4"/>
    <w:rsid w:val="001D6992"/>
    <w:rsid w:val="001D6B6A"/>
    <w:rsid w:val="001D6DF2"/>
    <w:rsid w:val="001D6E3D"/>
    <w:rsid w:val="001D74FB"/>
    <w:rsid w:val="001D7503"/>
    <w:rsid w:val="001D7993"/>
    <w:rsid w:val="001D7A18"/>
    <w:rsid w:val="001D7E59"/>
    <w:rsid w:val="001E0243"/>
    <w:rsid w:val="001E0666"/>
    <w:rsid w:val="001E0787"/>
    <w:rsid w:val="001E0A06"/>
    <w:rsid w:val="001E0A67"/>
    <w:rsid w:val="001E117F"/>
    <w:rsid w:val="001E13D9"/>
    <w:rsid w:val="001E1427"/>
    <w:rsid w:val="001E142F"/>
    <w:rsid w:val="001E1C13"/>
    <w:rsid w:val="001E1C5C"/>
    <w:rsid w:val="001E1E00"/>
    <w:rsid w:val="001E1FB0"/>
    <w:rsid w:val="001E217C"/>
    <w:rsid w:val="001E227E"/>
    <w:rsid w:val="001E2385"/>
    <w:rsid w:val="001E2628"/>
    <w:rsid w:val="001E28D6"/>
    <w:rsid w:val="001E2BC6"/>
    <w:rsid w:val="001E2E28"/>
    <w:rsid w:val="001E2FE6"/>
    <w:rsid w:val="001E3471"/>
    <w:rsid w:val="001E3B9C"/>
    <w:rsid w:val="001E3F5F"/>
    <w:rsid w:val="001E40FD"/>
    <w:rsid w:val="001E4214"/>
    <w:rsid w:val="001E44AC"/>
    <w:rsid w:val="001E48C9"/>
    <w:rsid w:val="001E49E2"/>
    <w:rsid w:val="001E52E9"/>
    <w:rsid w:val="001E5B49"/>
    <w:rsid w:val="001E5C99"/>
    <w:rsid w:val="001E605C"/>
    <w:rsid w:val="001E60DA"/>
    <w:rsid w:val="001E631E"/>
    <w:rsid w:val="001E67C0"/>
    <w:rsid w:val="001E67FB"/>
    <w:rsid w:val="001E6A2D"/>
    <w:rsid w:val="001E6A67"/>
    <w:rsid w:val="001E6CCC"/>
    <w:rsid w:val="001E6ED0"/>
    <w:rsid w:val="001E75D1"/>
    <w:rsid w:val="001E7DAB"/>
    <w:rsid w:val="001E7DAF"/>
    <w:rsid w:val="001E7E4D"/>
    <w:rsid w:val="001E7F1D"/>
    <w:rsid w:val="001E7FF8"/>
    <w:rsid w:val="001F065C"/>
    <w:rsid w:val="001F099A"/>
    <w:rsid w:val="001F0BCF"/>
    <w:rsid w:val="001F0D3C"/>
    <w:rsid w:val="001F0F56"/>
    <w:rsid w:val="001F123C"/>
    <w:rsid w:val="001F13B6"/>
    <w:rsid w:val="001F15F1"/>
    <w:rsid w:val="001F1693"/>
    <w:rsid w:val="001F1BB5"/>
    <w:rsid w:val="001F213E"/>
    <w:rsid w:val="001F2C57"/>
    <w:rsid w:val="001F2EFA"/>
    <w:rsid w:val="001F2FD8"/>
    <w:rsid w:val="001F3599"/>
    <w:rsid w:val="001F3ADC"/>
    <w:rsid w:val="001F3B78"/>
    <w:rsid w:val="001F4055"/>
    <w:rsid w:val="001F40DE"/>
    <w:rsid w:val="001F4397"/>
    <w:rsid w:val="001F4636"/>
    <w:rsid w:val="001F4638"/>
    <w:rsid w:val="001F4810"/>
    <w:rsid w:val="001F4FBA"/>
    <w:rsid w:val="001F51FF"/>
    <w:rsid w:val="001F52D8"/>
    <w:rsid w:val="001F56D1"/>
    <w:rsid w:val="001F5AA4"/>
    <w:rsid w:val="001F5C0D"/>
    <w:rsid w:val="001F5F88"/>
    <w:rsid w:val="001F63B9"/>
    <w:rsid w:val="001F7043"/>
    <w:rsid w:val="001F7272"/>
    <w:rsid w:val="001F737B"/>
    <w:rsid w:val="001F7659"/>
    <w:rsid w:val="001F772C"/>
    <w:rsid w:val="001F7864"/>
    <w:rsid w:val="002000E4"/>
    <w:rsid w:val="0020028F"/>
    <w:rsid w:val="002003C4"/>
    <w:rsid w:val="002003FC"/>
    <w:rsid w:val="00200A55"/>
    <w:rsid w:val="00200D97"/>
    <w:rsid w:val="002012C4"/>
    <w:rsid w:val="002014F0"/>
    <w:rsid w:val="0020157F"/>
    <w:rsid w:val="00201829"/>
    <w:rsid w:val="00201B8C"/>
    <w:rsid w:val="00201F54"/>
    <w:rsid w:val="00202122"/>
    <w:rsid w:val="002023D3"/>
    <w:rsid w:val="002024B9"/>
    <w:rsid w:val="00202607"/>
    <w:rsid w:val="00202643"/>
    <w:rsid w:val="0020345F"/>
    <w:rsid w:val="002036DD"/>
    <w:rsid w:val="00203A6F"/>
    <w:rsid w:val="002040A7"/>
    <w:rsid w:val="0020415F"/>
    <w:rsid w:val="002041EC"/>
    <w:rsid w:val="0020423D"/>
    <w:rsid w:val="0020479C"/>
    <w:rsid w:val="002047EA"/>
    <w:rsid w:val="00204C6F"/>
    <w:rsid w:val="00204C70"/>
    <w:rsid w:val="00205125"/>
    <w:rsid w:val="00205B38"/>
    <w:rsid w:val="00205B7F"/>
    <w:rsid w:val="00205D2D"/>
    <w:rsid w:val="00205F08"/>
    <w:rsid w:val="00205F18"/>
    <w:rsid w:val="0020625F"/>
    <w:rsid w:val="0020671F"/>
    <w:rsid w:val="00206775"/>
    <w:rsid w:val="0020680E"/>
    <w:rsid w:val="00206865"/>
    <w:rsid w:val="0020699A"/>
    <w:rsid w:val="00206B71"/>
    <w:rsid w:val="00206E5F"/>
    <w:rsid w:val="00206E61"/>
    <w:rsid w:val="00207291"/>
    <w:rsid w:val="00207436"/>
    <w:rsid w:val="002078BC"/>
    <w:rsid w:val="00207CCF"/>
    <w:rsid w:val="00207EA3"/>
    <w:rsid w:val="00207F04"/>
    <w:rsid w:val="00210197"/>
    <w:rsid w:val="00210412"/>
    <w:rsid w:val="0021047A"/>
    <w:rsid w:val="00210521"/>
    <w:rsid w:val="00210E50"/>
    <w:rsid w:val="00210E91"/>
    <w:rsid w:val="00210F89"/>
    <w:rsid w:val="00211110"/>
    <w:rsid w:val="0021145F"/>
    <w:rsid w:val="0021169F"/>
    <w:rsid w:val="00211974"/>
    <w:rsid w:val="0021208F"/>
    <w:rsid w:val="00212263"/>
    <w:rsid w:val="0021227C"/>
    <w:rsid w:val="00212BD2"/>
    <w:rsid w:val="00212D6C"/>
    <w:rsid w:val="00212F11"/>
    <w:rsid w:val="0021320B"/>
    <w:rsid w:val="00213485"/>
    <w:rsid w:val="00213573"/>
    <w:rsid w:val="002139D8"/>
    <w:rsid w:val="002139F5"/>
    <w:rsid w:val="00213B13"/>
    <w:rsid w:val="00213DC1"/>
    <w:rsid w:val="0021443D"/>
    <w:rsid w:val="00214E72"/>
    <w:rsid w:val="002151A6"/>
    <w:rsid w:val="00215411"/>
    <w:rsid w:val="00215A2F"/>
    <w:rsid w:val="00215C07"/>
    <w:rsid w:val="00215EC4"/>
    <w:rsid w:val="002164E0"/>
    <w:rsid w:val="0021658D"/>
    <w:rsid w:val="0021675C"/>
    <w:rsid w:val="00216BD7"/>
    <w:rsid w:val="00216EBB"/>
    <w:rsid w:val="00216EDA"/>
    <w:rsid w:val="0021744F"/>
    <w:rsid w:val="002174B3"/>
    <w:rsid w:val="00217D75"/>
    <w:rsid w:val="00217EF7"/>
    <w:rsid w:val="00220529"/>
    <w:rsid w:val="0022056B"/>
    <w:rsid w:val="00220833"/>
    <w:rsid w:val="00220849"/>
    <w:rsid w:val="00220E26"/>
    <w:rsid w:val="002219AD"/>
    <w:rsid w:val="002219CA"/>
    <w:rsid w:val="00221A77"/>
    <w:rsid w:val="00221C19"/>
    <w:rsid w:val="00222159"/>
    <w:rsid w:val="002223A4"/>
    <w:rsid w:val="002223E8"/>
    <w:rsid w:val="00222C51"/>
    <w:rsid w:val="00222EC4"/>
    <w:rsid w:val="00222F11"/>
    <w:rsid w:val="00223110"/>
    <w:rsid w:val="00223172"/>
    <w:rsid w:val="00223679"/>
    <w:rsid w:val="002238B5"/>
    <w:rsid w:val="00223AE2"/>
    <w:rsid w:val="00223CB1"/>
    <w:rsid w:val="002240B3"/>
    <w:rsid w:val="00224114"/>
    <w:rsid w:val="002241DD"/>
    <w:rsid w:val="00224464"/>
    <w:rsid w:val="00224A66"/>
    <w:rsid w:val="00224FCE"/>
    <w:rsid w:val="002252F8"/>
    <w:rsid w:val="002252F9"/>
    <w:rsid w:val="002258D9"/>
    <w:rsid w:val="00225A00"/>
    <w:rsid w:val="002260F2"/>
    <w:rsid w:val="0022676E"/>
    <w:rsid w:val="002267B2"/>
    <w:rsid w:val="00226920"/>
    <w:rsid w:val="00226B12"/>
    <w:rsid w:val="0022731D"/>
    <w:rsid w:val="00227519"/>
    <w:rsid w:val="00227828"/>
    <w:rsid w:val="00227860"/>
    <w:rsid w:val="00227A55"/>
    <w:rsid w:val="00227D23"/>
    <w:rsid w:val="00227EF0"/>
    <w:rsid w:val="00227F4B"/>
    <w:rsid w:val="0023040B"/>
    <w:rsid w:val="00230746"/>
    <w:rsid w:val="00230FB3"/>
    <w:rsid w:val="00231A95"/>
    <w:rsid w:val="00231B9C"/>
    <w:rsid w:val="00231D7E"/>
    <w:rsid w:val="002323F1"/>
    <w:rsid w:val="00232782"/>
    <w:rsid w:val="00233206"/>
    <w:rsid w:val="002333FB"/>
    <w:rsid w:val="0023358F"/>
    <w:rsid w:val="002336DF"/>
    <w:rsid w:val="002336F4"/>
    <w:rsid w:val="0023390C"/>
    <w:rsid w:val="00233A18"/>
    <w:rsid w:val="00233DF1"/>
    <w:rsid w:val="00233EE4"/>
    <w:rsid w:val="002341FE"/>
    <w:rsid w:val="002342B5"/>
    <w:rsid w:val="0023449E"/>
    <w:rsid w:val="0023474A"/>
    <w:rsid w:val="0023477E"/>
    <w:rsid w:val="00234B5D"/>
    <w:rsid w:val="00234C72"/>
    <w:rsid w:val="00234F43"/>
    <w:rsid w:val="00235144"/>
    <w:rsid w:val="002351CD"/>
    <w:rsid w:val="0023525F"/>
    <w:rsid w:val="0023595B"/>
    <w:rsid w:val="002359F6"/>
    <w:rsid w:val="00235B81"/>
    <w:rsid w:val="00235EC8"/>
    <w:rsid w:val="002360DA"/>
    <w:rsid w:val="00236449"/>
    <w:rsid w:val="0023681A"/>
    <w:rsid w:val="00236955"/>
    <w:rsid w:val="002369E4"/>
    <w:rsid w:val="00236BA4"/>
    <w:rsid w:val="00236D02"/>
    <w:rsid w:val="00236DEC"/>
    <w:rsid w:val="00237315"/>
    <w:rsid w:val="0023795E"/>
    <w:rsid w:val="00237E52"/>
    <w:rsid w:val="00237E9D"/>
    <w:rsid w:val="002409B3"/>
    <w:rsid w:val="00240B68"/>
    <w:rsid w:val="00240FAB"/>
    <w:rsid w:val="0024101F"/>
    <w:rsid w:val="00241077"/>
    <w:rsid w:val="00241598"/>
    <w:rsid w:val="00241AE5"/>
    <w:rsid w:val="00241C5F"/>
    <w:rsid w:val="00241D8F"/>
    <w:rsid w:val="00242500"/>
    <w:rsid w:val="002425F1"/>
    <w:rsid w:val="002427AE"/>
    <w:rsid w:val="00242C25"/>
    <w:rsid w:val="0024337C"/>
    <w:rsid w:val="002437F4"/>
    <w:rsid w:val="00243F05"/>
    <w:rsid w:val="00244518"/>
    <w:rsid w:val="0024458C"/>
    <w:rsid w:val="002447F3"/>
    <w:rsid w:val="0024480E"/>
    <w:rsid w:val="00244B83"/>
    <w:rsid w:val="00244B96"/>
    <w:rsid w:val="00244DCC"/>
    <w:rsid w:val="00244E75"/>
    <w:rsid w:val="0024512A"/>
    <w:rsid w:val="00245140"/>
    <w:rsid w:val="00245518"/>
    <w:rsid w:val="002455F6"/>
    <w:rsid w:val="002455FB"/>
    <w:rsid w:val="0024577E"/>
    <w:rsid w:val="00245831"/>
    <w:rsid w:val="00245B42"/>
    <w:rsid w:val="00245FE0"/>
    <w:rsid w:val="00246197"/>
    <w:rsid w:val="00246262"/>
    <w:rsid w:val="002463A3"/>
    <w:rsid w:val="00246AFF"/>
    <w:rsid w:val="00246FA3"/>
    <w:rsid w:val="0024704A"/>
    <w:rsid w:val="0024739D"/>
    <w:rsid w:val="00247591"/>
    <w:rsid w:val="00247757"/>
    <w:rsid w:val="00247C02"/>
    <w:rsid w:val="00247D89"/>
    <w:rsid w:val="00247D8A"/>
    <w:rsid w:val="002500F8"/>
    <w:rsid w:val="00250652"/>
    <w:rsid w:val="0025066D"/>
    <w:rsid w:val="00250ACA"/>
    <w:rsid w:val="00250D15"/>
    <w:rsid w:val="00250D9B"/>
    <w:rsid w:val="0025177E"/>
    <w:rsid w:val="00251FF9"/>
    <w:rsid w:val="002524DE"/>
    <w:rsid w:val="00252596"/>
    <w:rsid w:val="002525F4"/>
    <w:rsid w:val="00252A4F"/>
    <w:rsid w:val="00253292"/>
    <w:rsid w:val="0025389E"/>
    <w:rsid w:val="00253B86"/>
    <w:rsid w:val="00253F7A"/>
    <w:rsid w:val="002540DF"/>
    <w:rsid w:val="00254178"/>
    <w:rsid w:val="002543EA"/>
    <w:rsid w:val="002543F0"/>
    <w:rsid w:val="002544B4"/>
    <w:rsid w:val="002546FE"/>
    <w:rsid w:val="00254C21"/>
    <w:rsid w:val="00254FE1"/>
    <w:rsid w:val="0025502A"/>
    <w:rsid w:val="00255310"/>
    <w:rsid w:val="00255359"/>
    <w:rsid w:val="002559D4"/>
    <w:rsid w:val="00255A15"/>
    <w:rsid w:val="00255AFD"/>
    <w:rsid w:val="00255C27"/>
    <w:rsid w:val="00255C3C"/>
    <w:rsid w:val="00255DCD"/>
    <w:rsid w:val="00255DF9"/>
    <w:rsid w:val="00255FB9"/>
    <w:rsid w:val="0025643E"/>
    <w:rsid w:val="0025744A"/>
    <w:rsid w:val="00257918"/>
    <w:rsid w:val="00257C7A"/>
    <w:rsid w:val="00257E52"/>
    <w:rsid w:val="00257E98"/>
    <w:rsid w:val="00260198"/>
    <w:rsid w:val="00260437"/>
    <w:rsid w:val="002606FA"/>
    <w:rsid w:val="00260D06"/>
    <w:rsid w:val="00260FA8"/>
    <w:rsid w:val="002610BC"/>
    <w:rsid w:val="002615F7"/>
    <w:rsid w:val="002621E8"/>
    <w:rsid w:val="00262396"/>
    <w:rsid w:val="002623E1"/>
    <w:rsid w:val="0026260C"/>
    <w:rsid w:val="0026294A"/>
    <w:rsid w:val="00262DA9"/>
    <w:rsid w:val="0026305E"/>
    <w:rsid w:val="00263281"/>
    <w:rsid w:val="0026334F"/>
    <w:rsid w:val="0026349F"/>
    <w:rsid w:val="00263850"/>
    <w:rsid w:val="00263BF9"/>
    <w:rsid w:val="00264232"/>
    <w:rsid w:val="002644CA"/>
    <w:rsid w:val="002647C2"/>
    <w:rsid w:val="00264B93"/>
    <w:rsid w:val="00264BE4"/>
    <w:rsid w:val="00264F55"/>
    <w:rsid w:val="00265798"/>
    <w:rsid w:val="002657B2"/>
    <w:rsid w:val="00265D2D"/>
    <w:rsid w:val="00265F45"/>
    <w:rsid w:val="0026649E"/>
    <w:rsid w:val="0026657F"/>
    <w:rsid w:val="002665B1"/>
    <w:rsid w:val="00266706"/>
    <w:rsid w:val="0026689F"/>
    <w:rsid w:val="00266AB4"/>
    <w:rsid w:val="00266AE4"/>
    <w:rsid w:val="00266CE4"/>
    <w:rsid w:val="00266D1B"/>
    <w:rsid w:val="00267056"/>
    <w:rsid w:val="002672A8"/>
    <w:rsid w:val="002673D5"/>
    <w:rsid w:val="00270425"/>
    <w:rsid w:val="0027060F"/>
    <w:rsid w:val="00270910"/>
    <w:rsid w:val="00270A01"/>
    <w:rsid w:val="00271236"/>
    <w:rsid w:val="00271404"/>
    <w:rsid w:val="00271564"/>
    <w:rsid w:val="002716BC"/>
    <w:rsid w:val="0027191B"/>
    <w:rsid w:val="00271984"/>
    <w:rsid w:val="002719ED"/>
    <w:rsid w:val="0027200C"/>
    <w:rsid w:val="002724E6"/>
    <w:rsid w:val="002725A7"/>
    <w:rsid w:val="00272A2E"/>
    <w:rsid w:val="00272B85"/>
    <w:rsid w:val="00272F7C"/>
    <w:rsid w:val="00272F8A"/>
    <w:rsid w:val="00273081"/>
    <w:rsid w:val="00273095"/>
    <w:rsid w:val="002732AC"/>
    <w:rsid w:val="00273527"/>
    <w:rsid w:val="00273ADF"/>
    <w:rsid w:val="00273E2F"/>
    <w:rsid w:val="00274013"/>
    <w:rsid w:val="00274421"/>
    <w:rsid w:val="00274471"/>
    <w:rsid w:val="002744F1"/>
    <w:rsid w:val="002745E3"/>
    <w:rsid w:val="00274695"/>
    <w:rsid w:val="00274696"/>
    <w:rsid w:val="002746D6"/>
    <w:rsid w:val="002747B6"/>
    <w:rsid w:val="00274B6B"/>
    <w:rsid w:val="00274C54"/>
    <w:rsid w:val="00274CAB"/>
    <w:rsid w:val="00274D75"/>
    <w:rsid w:val="00274F16"/>
    <w:rsid w:val="00275817"/>
    <w:rsid w:val="002759AB"/>
    <w:rsid w:val="00275ACB"/>
    <w:rsid w:val="00275C39"/>
    <w:rsid w:val="00275D4D"/>
    <w:rsid w:val="00275D5B"/>
    <w:rsid w:val="0027603F"/>
    <w:rsid w:val="00276288"/>
    <w:rsid w:val="00276425"/>
    <w:rsid w:val="00276446"/>
    <w:rsid w:val="00276740"/>
    <w:rsid w:val="002767A6"/>
    <w:rsid w:val="00276EC7"/>
    <w:rsid w:val="00276F13"/>
    <w:rsid w:val="00276F97"/>
    <w:rsid w:val="002770B2"/>
    <w:rsid w:val="0027713B"/>
    <w:rsid w:val="0027748F"/>
    <w:rsid w:val="00277771"/>
    <w:rsid w:val="00277BC2"/>
    <w:rsid w:val="00277CBD"/>
    <w:rsid w:val="0028086E"/>
    <w:rsid w:val="002809FC"/>
    <w:rsid w:val="00280C6B"/>
    <w:rsid w:val="00280EA8"/>
    <w:rsid w:val="0028105B"/>
    <w:rsid w:val="0028111D"/>
    <w:rsid w:val="00281364"/>
    <w:rsid w:val="002813AD"/>
    <w:rsid w:val="00281593"/>
    <w:rsid w:val="00281B64"/>
    <w:rsid w:val="00281D30"/>
    <w:rsid w:val="00281D4C"/>
    <w:rsid w:val="002820F8"/>
    <w:rsid w:val="002822E5"/>
    <w:rsid w:val="00282381"/>
    <w:rsid w:val="0028258A"/>
    <w:rsid w:val="0028265C"/>
    <w:rsid w:val="0028278E"/>
    <w:rsid w:val="00282C27"/>
    <w:rsid w:val="00282E63"/>
    <w:rsid w:val="00283235"/>
    <w:rsid w:val="002832D7"/>
    <w:rsid w:val="002834B9"/>
    <w:rsid w:val="002835FE"/>
    <w:rsid w:val="00283964"/>
    <w:rsid w:val="00283A79"/>
    <w:rsid w:val="00283BF6"/>
    <w:rsid w:val="00283FA7"/>
    <w:rsid w:val="00284222"/>
    <w:rsid w:val="0028428B"/>
    <w:rsid w:val="00284847"/>
    <w:rsid w:val="002848BF"/>
    <w:rsid w:val="00284C19"/>
    <w:rsid w:val="00284E04"/>
    <w:rsid w:val="002852E2"/>
    <w:rsid w:val="002854D4"/>
    <w:rsid w:val="00285C97"/>
    <w:rsid w:val="00285D8B"/>
    <w:rsid w:val="0028631A"/>
    <w:rsid w:val="00286341"/>
    <w:rsid w:val="00286ABF"/>
    <w:rsid w:val="00286BAF"/>
    <w:rsid w:val="00286BB4"/>
    <w:rsid w:val="00286C26"/>
    <w:rsid w:val="002875F2"/>
    <w:rsid w:val="00287730"/>
    <w:rsid w:val="002877FD"/>
    <w:rsid w:val="00287A65"/>
    <w:rsid w:val="00287A7A"/>
    <w:rsid w:val="00287E37"/>
    <w:rsid w:val="00287F56"/>
    <w:rsid w:val="002901C4"/>
    <w:rsid w:val="0029075F"/>
    <w:rsid w:val="00290949"/>
    <w:rsid w:val="00290EF7"/>
    <w:rsid w:val="00290F35"/>
    <w:rsid w:val="00291095"/>
    <w:rsid w:val="00291400"/>
    <w:rsid w:val="00291797"/>
    <w:rsid w:val="00291A83"/>
    <w:rsid w:val="00291BAE"/>
    <w:rsid w:val="002925C8"/>
    <w:rsid w:val="002928D2"/>
    <w:rsid w:val="00292BEF"/>
    <w:rsid w:val="002934B9"/>
    <w:rsid w:val="00293661"/>
    <w:rsid w:val="00293AC1"/>
    <w:rsid w:val="00293E34"/>
    <w:rsid w:val="00293F2C"/>
    <w:rsid w:val="002941C7"/>
    <w:rsid w:val="002942D9"/>
    <w:rsid w:val="00294CA8"/>
    <w:rsid w:val="00294EBE"/>
    <w:rsid w:val="002955F1"/>
    <w:rsid w:val="00295A03"/>
    <w:rsid w:val="00295E72"/>
    <w:rsid w:val="00296083"/>
    <w:rsid w:val="00296365"/>
    <w:rsid w:val="00296657"/>
    <w:rsid w:val="00296CAE"/>
    <w:rsid w:val="00296CFA"/>
    <w:rsid w:val="00296F53"/>
    <w:rsid w:val="00296F91"/>
    <w:rsid w:val="0029749B"/>
    <w:rsid w:val="002977BC"/>
    <w:rsid w:val="00297A4D"/>
    <w:rsid w:val="00297D59"/>
    <w:rsid w:val="00297DBC"/>
    <w:rsid w:val="002A0149"/>
    <w:rsid w:val="002A057A"/>
    <w:rsid w:val="002A0665"/>
    <w:rsid w:val="002A09C1"/>
    <w:rsid w:val="002A0A00"/>
    <w:rsid w:val="002A0A2C"/>
    <w:rsid w:val="002A0D59"/>
    <w:rsid w:val="002A0F5E"/>
    <w:rsid w:val="002A10F0"/>
    <w:rsid w:val="002A15CF"/>
    <w:rsid w:val="002A16DE"/>
    <w:rsid w:val="002A187C"/>
    <w:rsid w:val="002A18D4"/>
    <w:rsid w:val="002A1D57"/>
    <w:rsid w:val="002A253E"/>
    <w:rsid w:val="002A2901"/>
    <w:rsid w:val="002A304C"/>
    <w:rsid w:val="002A317B"/>
    <w:rsid w:val="002A3ACE"/>
    <w:rsid w:val="002A3AE7"/>
    <w:rsid w:val="002A3C49"/>
    <w:rsid w:val="002A3DD9"/>
    <w:rsid w:val="002A3E89"/>
    <w:rsid w:val="002A41B9"/>
    <w:rsid w:val="002A477C"/>
    <w:rsid w:val="002A4787"/>
    <w:rsid w:val="002A4A38"/>
    <w:rsid w:val="002A4FEB"/>
    <w:rsid w:val="002A53DC"/>
    <w:rsid w:val="002A57FC"/>
    <w:rsid w:val="002A5878"/>
    <w:rsid w:val="002A59B7"/>
    <w:rsid w:val="002A5AD5"/>
    <w:rsid w:val="002A5B24"/>
    <w:rsid w:val="002A5C96"/>
    <w:rsid w:val="002A6113"/>
    <w:rsid w:val="002A6387"/>
    <w:rsid w:val="002A65CB"/>
    <w:rsid w:val="002A68FE"/>
    <w:rsid w:val="002A72A6"/>
    <w:rsid w:val="002A73FD"/>
    <w:rsid w:val="002A773C"/>
    <w:rsid w:val="002B089B"/>
    <w:rsid w:val="002B0B2C"/>
    <w:rsid w:val="002B12B2"/>
    <w:rsid w:val="002B12CD"/>
    <w:rsid w:val="002B1391"/>
    <w:rsid w:val="002B1BAC"/>
    <w:rsid w:val="002B20A4"/>
    <w:rsid w:val="002B21BB"/>
    <w:rsid w:val="002B26C9"/>
    <w:rsid w:val="002B2957"/>
    <w:rsid w:val="002B2B82"/>
    <w:rsid w:val="002B2BB4"/>
    <w:rsid w:val="002B2D90"/>
    <w:rsid w:val="002B2EAE"/>
    <w:rsid w:val="002B385F"/>
    <w:rsid w:val="002B4291"/>
    <w:rsid w:val="002B439D"/>
    <w:rsid w:val="002B43A3"/>
    <w:rsid w:val="002B47E6"/>
    <w:rsid w:val="002B4AA4"/>
    <w:rsid w:val="002B4AC2"/>
    <w:rsid w:val="002B4BDD"/>
    <w:rsid w:val="002B4D0E"/>
    <w:rsid w:val="002B51C0"/>
    <w:rsid w:val="002B54D4"/>
    <w:rsid w:val="002B5503"/>
    <w:rsid w:val="002B5590"/>
    <w:rsid w:val="002B5E75"/>
    <w:rsid w:val="002B5F25"/>
    <w:rsid w:val="002B60ED"/>
    <w:rsid w:val="002B62C1"/>
    <w:rsid w:val="002B6615"/>
    <w:rsid w:val="002B6E54"/>
    <w:rsid w:val="002B709B"/>
    <w:rsid w:val="002B7325"/>
    <w:rsid w:val="002B741F"/>
    <w:rsid w:val="002B777F"/>
    <w:rsid w:val="002B7905"/>
    <w:rsid w:val="002B7AC0"/>
    <w:rsid w:val="002B7CBE"/>
    <w:rsid w:val="002B7E5A"/>
    <w:rsid w:val="002B7EA3"/>
    <w:rsid w:val="002C006C"/>
    <w:rsid w:val="002C0E39"/>
    <w:rsid w:val="002C0F91"/>
    <w:rsid w:val="002C11AC"/>
    <w:rsid w:val="002C1348"/>
    <w:rsid w:val="002C169C"/>
    <w:rsid w:val="002C1752"/>
    <w:rsid w:val="002C198D"/>
    <w:rsid w:val="002C1E0F"/>
    <w:rsid w:val="002C1E37"/>
    <w:rsid w:val="002C1FE2"/>
    <w:rsid w:val="002C25E9"/>
    <w:rsid w:val="002C271A"/>
    <w:rsid w:val="002C2820"/>
    <w:rsid w:val="002C28B5"/>
    <w:rsid w:val="002C2B78"/>
    <w:rsid w:val="002C2C52"/>
    <w:rsid w:val="002C2F76"/>
    <w:rsid w:val="002C32C3"/>
    <w:rsid w:val="002C37A3"/>
    <w:rsid w:val="002C37C4"/>
    <w:rsid w:val="002C39EE"/>
    <w:rsid w:val="002C3C24"/>
    <w:rsid w:val="002C3CED"/>
    <w:rsid w:val="002C4133"/>
    <w:rsid w:val="002C4669"/>
    <w:rsid w:val="002C475A"/>
    <w:rsid w:val="002C477D"/>
    <w:rsid w:val="002C4DDC"/>
    <w:rsid w:val="002C50D8"/>
    <w:rsid w:val="002C594C"/>
    <w:rsid w:val="002C5D7E"/>
    <w:rsid w:val="002C5E97"/>
    <w:rsid w:val="002C60EE"/>
    <w:rsid w:val="002C6390"/>
    <w:rsid w:val="002C64D4"/>
    <w:rsid w:val="002C6ADC"/>
    <w:rsid w:val="002C70D3"/>
    <w:rsid w:val="002C7564"/>
    <w:rsid w:val="002C7599"/>
    <w:rsid w:val="002C7DE2"/>
    <w:rsid w:val="002C7DEF"/>
    <w:rsid w:val="002C7F68"/>
    <w:rsid w:val="002D0BF1"/>
    <w:rsid w:val="002D0D2A"/>
    <w:rsid w:val="002D0D3F"/>
    <w:rsid w:val="002D0D65"/>
    <w:rsid w:val="002D11F5"/>
    <w:rsid w:val="002D1229"/>
    <w:rsid w:val="002D15FD"/>
    <w:rsid w:val="002D198E"/>
    <w:rsid w:val="002D198F"/>
    <w:rsid w:val="002D1D4A"/>
    <w:rsid w:val="002D1EF9"/>
    <w:rsid w:val="002D2262"/>
    <w:rsid w:val="002D26D6"/>
    <w:rsid w:val="002D28E1"/>
    <w:rsid w:val="002D2DB7"/>
    <w:rsid w:val="002D2E9B"/>
    <w:rsid w:val="002D2EB0"/>
    <w:rsid w:val="002D3284"/>
    <w:rsid w:val="002D329F"/>
    <w:rsid w:val="002D355A"/>
    <w:rsid w:val="002D3590"/>
    <w:rsid w:val="002D3B75"/>
    <w:rsid w:val="002D40D7"/>
    <w:rsid w:val="002D4180"/>
    <w:rsid w:val="002D41E0"/>
    <w:rsid w:val="002D4359"/>
    <w:rsid w:val="002D46E8"/>
    <w:rsid w:val="002D485D"/>
    <w:rsid w:val="002D4D68"/>
    <w:rsid w:val="002D4EFB"/>
    <w:rsid w:val="002D535B"/>
    <w:rsid w:val="002D5585"/>
    <w:rsid w:val="002D55A4"/>
    <w:rsid w:val="002D58FC"/>
    <w:rsid w:val="002D5C71"/>
    <w:rsid w:val="002D5C9D"/>
    <w:rsid w:val="002D5CEA"/>
    <w:rsid w:val="002D5D76"/>
    <w:rsid w:val="002D5D9B"/>
    <w:rsid w:val="002D5F28"/>
    <w:rsid w:val="002D5FAA"/>
    <w:rsid w:val="002D6261"/>
    <w:rsid w:val="002D63B7"/>
    <w:rsid w:val="002D646C"/>
    <w:rsid w:val="002D65B9"/>
    <w:rsid w:val="002D70DE"/>
    <w:rsid w:val="002D70F7"/>
    <w:rsid w:val="002D7553"/>
    <w:rsid w:val="002D7A06"/>
    <w:rsid w:val="002D7B80"/>
    <w:rsid w:val="002D7CA2"/>
    <w:rsid w:val="002E024B"/>
    <w:rsid w:val="002E0888"/>
    <w:rsid w:val="002E0894"/>
    <w:rsid w:val="002E0B11"/>
    <w:rsid w:val="002E0BAE"/>
    <w:rsid w:val="002E0CCC"/>
    <w:rsid w:val="002E0F7B"/>
    <w:rsid w:val="002E1470"/>
    <w:rsid w:val="002E15A8"/>
    <w:rsid w:val="002E1B51"/>
    <w:rsid w:val="002E1C5E"/>
    <w:rsid w:val="002E1F02"/>
    <w:rsid w:val="002E200F"/>
    <w:rsid w:val="002E22B9"/>
    <w:rsid w:val="002E23F2"/>
    <w:rsid w:val="002E2516"/>
    <w:rsid w:val="002E2A4A"/>
    <w:rsid w:val="002E2B76"/>
    <w:rsid w:val="002E2FCE"/>
    <w:rsid w:val="002E378E"/>
    <w:rsid w:val="002E3834"/>
    <w:rsid w:val="002E3983"/>
    <w:rsid w:val="002E3DAC"/>
    <w:rsid w:val="002E4196"/>
    <w:rsid w:val="002E43B5"/>
    <w:rsid w:val="002E44D2"/>
    <w:rsid w:val="002E45A3"/>
    <w:rsid w:val="002E4684"/>
    <w:rsid w:val="002E487D"/>
    <w:rsid w:val="002E493C"/>
    <w:rsid w:val="002E4984"/>
    <w:rsid w:val="002E4D2F"/>
    <w:rsid w:val="002E4FB5"/>
    <w:rsid w:val="002E504B"/>
    <w:rsid w:val="002E5CE3"/>
    <w:rsid w:val="002E629D"/>
    <w:rsid w:val="002E64B2"/>
    <w:rsid w:val="002E6717"/>
    <w:rsid w:val="002E694F"/>
    <w:rsid w:val="002E73C3"/>
    <w:rsid w:val="002E7980"/>
    <w:rsid w:val="002E7D24"/>
    <w:rsid w:val="002F0097"/>
    <w:rsid w:val="002F046D"/>
    <w:rsid w:val="002F0503"/>
    <w:rsid w:val="002F056C"/>
    <w:rsid w:val="002F0790"/>
    <w:rsid w:val="002F09D2"/>
    <w:rsid w:val="002F0C52"/>
    <w:rsid w:val="002F0D8D"/>
    <w:rsid w:val="002F0F7A"/>
    <w:rsid w:val="002F1762"/>
    <w:rsid w:val="002F1A69"/>
    <w:rsid w:val="002F2060"/>
    <w:rsid w:val="002F2730"/>
    <w:rsid w:val="002F27E1"/>
    <w:rsid w:val="002F28A4"/>
    <w:rsid w:val="002F2AB0"/>
    <w:rsid w:val="002F2E9B"/>
    <w:rsid w:val="002F2EB1"/>
    <w:rsid w:val="002F2FD3"/>
    <w:rsid w:val="002F31AA"/>
    <w:rsid w:val="002F3248"/>
    <w:rsid w:val="002F359E"/>
    <w:rsid w:val="002F3672"/>
    <w:rsid w:val="002F3686"/>
    <w:rsid w:val="002F3AE1"/>
    <w:rsid w:val="002F40EF"/>
    <w:rsid w:val="002F418B"/>
    <w:rsid w:val="002F430B"/>
    <w:rsid w:val="002F4450"/>
    <w:rsid w:val="002F4574"/>
    <w:rsid w:val="002F4BCC"/>
    <w:rsid w:val="002F4CF9"/>
    <w:rsid w:val="002F5906"/>
    <w:rsid w:val="002F595E"/>
    <w:rsid w:val="002F5980"/>
    <w:rsid w:val="002F5BA0"/>
    <w:rsid w:val="002F5C1D"/>
    <w:rsid w:val="002F5CB6"/>
    <w:rsid w:val="002F5D0D"/>
    <w:rsid w:val="002F602A"/>
    <w:rsid w:val="002F647E"/>
    <w:rsid w:val="002F6A22"/>
    <w:rsid w:val="002F6A30"/>
    <w:rsid w:val="002F6AD2"/>
    <w:rsid w:val="002F6AEA"/>
    <w:rsid w:val="002F7548"/>
    <w:rsid w:val="002F7786"/>
    <w:rsid w:val="002F7875"/>
    <w:rsid w:val="002F7DF6"/>
    <w:rsid w:val="002F7FA6"/>
    <w:rsid w:val="0030036E"/>
    <w:rsid w:val="00300F26"/>
    <w:rsid w:val="0030101F"/>
    <w:rsid w:val="00301CC9"/>
    <w:rsid w:val="00301D7B"/>
    <w:rsid w:val="0030224A"/>
    <w:rsid w:val="003022C5"/>
    <w:rsid w:val="003025A6"/>
    <w:rsid w:val="00302708"/>
    <w:rsid w:val="0030287B"/>
    <w:rsid w:val="00302962"/>
    <w:rsid w:val="003029F8"/>
    <w:rsid w:val="00302C44"/>
    <w:rsid w:val="00302F3B"/>
    <w:rsid w:val="00303270"/>
    <w:rsid w:val="0030374D"/>
    <w:rsid w:val="00303CFA"/>
    <w:rsid w:val="003041E7"/>
    <w:rsid w:val="00304311"/>
    <w:rsid w:val="003044CE"/>
    <w:rsid w:val="00304547"/>
    <w:rsid w:val="00304A25"/>
    <w:rsid w:val="00304C1E"/>
    <w:rsid w:val="0030549F"/>
    <w:rsid w:val="00305AC0"/>
    <w:rsid w:val="00305BDC"/>
    <w:rsid w:val="00305EF4"/>
    <w:rsid w:val="00306102"/>
    <w:rsid w:val="0030643D"/>
    <w:rsid w:val="00306A86"/>
    <w:rsid w:val="0030728A"/>
    <w:rsid w:val="00307948"/>
    <w:rsid w:val="003102FA"/>
    <w:rsid w:val="00310332"/>
    <w:rsid w:val="00310E1C"/>
    <w:rsid w:val="00311BA3"/>
    <w:rsid w:val="00311FCB"/>
    <w:rsid w:val="003123D9"/>
    <w:rsid w:val="00312521"/>
    <w:rsid w:val="00312660"/>
    <w:rsid w:val="00312772"/>
    <w:rsid w:val="00312882"/>
    <w:rsid w:val="00312982"/>
    <w:rsid w:val="00312DA2"/>
    <w:rsid w:val="003134AC"/>
    <w:rsid w:val="003134CA"/>
    <w:rsid w:val="00313508"/>
    <w:rsid w:val="00313853"/>
    <w:rsid w:val="00314173"/>
    <w:rsid w:val="0031422A"/>
    <w:rsid w:val="0031474B"/>
    <w:rsid w:val="003149E0"/>
    <w:rsid w:val="00314B67"/>
    <w:rsid w:val="00315A26"/>
    <w:rsid w:val="0031607A"/>
    <w:rsid w:val="00316E60"/>
    <w:rsid w:val="00316FE4"/>
    <w:rsid w:val="0031702B"/>
    <w:rsid w:val="00317308"/>
    <w:rsid w:val="00317412"/>
    <w:rsid w:val="00317D21"/>
    <w:rsid w:val="00317E43"/>
    <w:rsid w:val="00317ECE"/>
    <w:rsid w:val="00320138"/>
    <w:rsid w:val="00320203"/>
    <w:rsid w:val="00320291"/>
    <w:rsid w:val="0032041F"/>
    <w:rsid w:val="00320765"/>
    <w:rsid w:val="00320830"/>
    <w:rsid w:val="00320938"/>
    <w:rsid w:val="00320C35"/>
    <w:rsid w:val="00320D99"/>
    <w:rsid w:val="00320EB4"/>
    <w:rsid w:val="0032116B"/>
    <w:rsid w:val="00321295"/>
    <w:rsid w:val="00321414"/>
    <w:rsid w:val="00321AC6"/>
    <w:rsid w:val="00321B16"/>
    <w:rsid w:val="003222E2"/>
    <w:rsid w:val="00322327"/>
    <w:rsid w:val="00322439"/>
    <w:rsid w:val="003233D6"/>
    <w:rsid w:val="0032344F"/>
    <w:rsid w:val="00324438"/>
    <w:rsid w:val="0032452F"/>
    <w:rsid w:val="003247A3"/>
    <w:rsid w:val="00324DF8"/>
    <w:rsid w:val="00324F50"/>
    <w:rsid w:val="003258A3"/>
    <w:rsid w:val="00326151"/>
    <w:rsid w:val="003265BE"/>
    <w:rsid w:val="00326A87"/>
    <w:rsid w:val="003271A1"/>
    <w:rsid w:val="0032763A"/>
    <w:rsid w:val="0032769F"/>
    <w:rsid w:val="003277CE"/>
    <w:rsid w:val="00327901"/>
    <w:rsid w:val="00327B50"/>
    <w:rsid w:val="00327BEE"/>
    <w:rsid w:val="00327F68"/>
    <w:rsid w:val="003300F2"/>
    <w:rsid w:val="0033010C"/>
    <w:rsid w:val="00330223"/>
    <w:rsid w:val="00330894"/>
    <w:rsid w:val="003309C9"/>
    <w:rsid w:val="00330C50"/>
    <w:rsid w:val="0033149B"/>
    <w:rsid w:val="00331625"/>
    <w:rsid w:val="00331703"/>
    <w:rsid w:val="003317DA"/>
    <w:rsid w:val="00331AE7"/>
    <w:rsid w:val="00331D51"/>
    <w:rsid w:val="00332158"/>
    <w:rsid w:val="0033273F"/>
    <w:rsid w:val="00332A07"/>
    <w:rsid w:val="00332D98"/>
    <w:rsid w:val="00333483"/>
    <w:rsid w:val="003335F7"/>
    <w:rsid w:val="00333667"/>
    <w:rsid w:val="0033376D"/>
    <w:rsid w:val="00333AA3"/>
    <w:rsid w:val="00333E1D"/>
    <w:rsid w:val="00334073"/>
    <w:rsid w:val="003342B1"/>
    <w:rsid w:val="003342CF"/>
    <w:rsid w:val="00334467"/>
    <w:rsid w:val="00334995"/>
    <w:rsid w:val="00334AD3"/>
    <w:rsid w:val="00334B2A"/>
    <w:rsid w:val="00334DD6"/>
    <w:rsid w:val="0033500D"/>
    <w:rsid w:val="00335282"/>
    <w:rsid w:val="003356D1"/>
    <w:rsid w:val="003358F9"/>
    <w:rsid w:val="003359F8"/>
    <w:rsid w:val="00335A81"/>
    <w:rsid w:val="00335DCE"/>
    <w:rsid w:val="00335F04"/>
    <w:rsid w:val="00335FE9"/>
    <w:rsid w:val="0033625E"/>
    <w:rsid w:val="00336824"/>
    <w:rsid w:val="0033699C"/>
    <w:rsid w:val="00336A0D"/>
    <w:rsid w:val="00337877"/>
    <w:rsid w:val="00337ADA"/>
    <w:rsid w:val="00337C35"/>
    <w:rsid w:val="00337E0B"/>
    <w:rsid w:val="00340821"/>
    <w:rsid w:val="00340A8C"/>
    <w:rsid w:val="00340B72"/>
    <w:rsid w:val="00340C51"/>
    <w:rsid w:val="0034109D"/>
    <w:rsid w:val="0034171E"/>
    <w:rsid w:val="00341934"/>
    <w:rsid w:val="003422E0"/>
    <w:rsid w:val="003431C6"/>
    <w:rsid w:val="003433D7"/>
    <w:rsid w:val="0034375B"/>
    <w:rsid w:val="00343819"/>
    <w:rsid w:val="003439B8"/>
    <w:rsid w:val="0034424B"/>
    <w:rsid w:val="00344357"/>
    <w:rsid w:val="00344457"/>
    <w:rsid w:val="00344476"/>
    <w:rsid w:val="0034473D"/>
    <w:rsid w:val="00344A7B"/>
    <w:rsid w:val="0034529B"/>
    <w:rsid w:val="00345911"/>
    <w:rsid w:val="00345A4D"/>
    <w:rsid w:val="00345AD7"/>
    <w:rsid w:val="00345C70"/>
    <w:rsid w:val="00345C82"/>
    <w:rsid w:val="00345D72"/>
    <w:rsid w:val="00346455"/>
    <w:rsid w:val="003465B5"/>
    <w:rsid w:val="003466A1"/>
    <w:rsid w:val="003469CE"/>
    <w:rsid w:val="00346A1B"/>
    <w:rsid w:val="00346F0F"/>
    <w:rsid w:val="0034720F"/>
    <w:rsid w:val="0034747A"/>
    <w:rsid w:val="003475C3"/>
    <w:rsid w:val="00347692"/>
    <w:rsid w:val="00347835"/>
    <w:rsid w:val="00347A23"/>
    <w:rsid w:val="00347F90"/>
    <w:rsid w:val="003500B7"/>
    <w:rsid w:val="003506EB"/>
    <w:rsid w:val="003508A0"/>
    <w:rsid w:val="00350A98"/>
    <w:rsid w:val="00351268"/>
    <w:rsid w:val="003519D0"/>
    <w:rsid w:val="00351C02"/>
    <w:rsid w:val="00351D03"/>
    <w:rsid w:val="003520F0"/>
    <w:rsid w:val="00352455"/>
    <w:rsid w:val="0035245F"/>
    <w:rsid w:val="00352470"/>
    <w:rsid w:val="00352579"/>
    <w:rsid w:val="0035258E"/>
    <w:rsid w:val="00352628"/>
    <w:rsid w:val="003527CF"/>
    <w:rsid w:val="00352B18"/>
    <w:rsid w:val="00352CDD"/>
    <w:rsid w:val="00352D60"/>
    <w:rsid w:val="00353214"/>
    <w:rsid w:val="003539B5"/>
    <w:rsid w:val="00353DBD"/>
    <w:rsid w:val="00354113"/>
    <w:rsid w:val="003545D8"/>
    <w:rsid w:val="00354CFB"/>
    <w:rsid w:val="00354EB2"/>
    <w:rsid w:val="00354EF9"/>
    <w:rsid w:val="003551B6"/>
    <w:rsid w:val="00355442"/>
    <w:rsid w:val="003554C6"/>
    <w:rsid w:val="00355617"/>
    <w:rsid w:val="003556AA"/>
    <w:rsid w:val="00355ED2"/>
    <w:rsid w:val="0035607C"/>
    <w:rsid w:val="003561EA"/>
    <w:rsid w:val="00356677"/>
    <w:rsid w:val="0035698C"/>
    <w:rsid w:val="00356A82"/>
    <w:rsid w:val="00356C81"/>
    <w:rsid w:val="00356FA3"/>
    <w:rsid w:val="0035702F"/>
    <w:rsid w:val="003573E3"/>
    <w:rsid w:val="003574C9"/>
    <w:rsid w:val="003576F4"/>
    <w:rsid w:val="003577A2"/>
    <w:rsid w:val="00357968"/>
    <w:rsid w:val="00357A35"/>
    <w:rsid w:val="00357B45"/>
    <w:rsid w:val="00357C75"/>
    <w:rsid w:val="00360110"/>
    <w:rsid w:val="0036063F"/>
    <w:rsid w:val="00360870"/>
    <w:rsid w:val="003608E2"/>
    <w:rsid w:val="00360A35"/>
    <w:rsid w:val="00360EEA"/>
    <w:rsid w:val="00360FDE"/>
    <w:rsid w:val="0036111E"/>
    <w:rsid w:val="003611F1"/>
    <w:rsid w:val="0036153A"/>
    <w:rsid w:val="0036159B"/>
    <w:rsid w:val="00361605"/>
    <w:rsid w:val="0036172C"/>
    <w:rsid w:val="003619EF"/>
    <w:rsid w:val="00361B6E"/>
    <w:rsid w:val="00361CE9"/>
    <w:rsid w:val="003621CD"/>
    <w:rsid w:val="00362285"/>
    <w:rsid w:val="00362485"/>
    <w:rsid w:val="0036250A"/>
    <w:rsid w:val="0036251D"/>
    <w:rsid w:val="00362D0D"/>
    <w:rsid w:val="00362D81"/>
    <w:rsid w:val="00362F84"/>
    <w:rsid w:val="00363056"/>
    <w:rsid w:val="0036364B"/>
    <w:rsid w:val="00363B4E"/>
    <w:rsid w:val="00363BAB"/>
    <w:rsid w:val="0036428F"/>
    <w:rsid w:val="003643C0"/>
    <w:rsid w:val="0036479A"/>
    <w:rsid w:val="00364871"/>
    <w:rsid w:val="00364F8E"/>
    <w:rsid w:val="00365097"/>
    <w:rsid w:val="0036569E"/>
    <w:rsid w:val="003657BF"/>
    <w:rsid w:val="00365C32"/>
    <w:rsid w:val="00366295"/>
    <w:rsid w:val="00366473"/>
    <w:rsid w:val="003665CE"/>
    <w:rsid w:val="00366ACF"/>
    <w:rsid w:val="00366D7E"/>
    <w:rsid w:val="00366FCF"/>
    <w:rsid w:val="0036749D"/>
    <w:rsid w:val="00367558"/>
    <w:rsid w:val="003676AB"/>
    <w:rsid w:val="00367BA0"/>
    <w:rsid w:val="00367BC3"/>
    <w:rsid w:val="00367FCB"/>
    <w:rsid w:val="003701E5"/>
    <w:rsid w:val="0037026F"/>
    <w:rsid w:val="003709B0"/>
    <w:rsid w:val="00370F2C"/>
    <w:rsid w:val="00370FBF"/>
    <w:rsid w:val="003711A2"/>
    <w:rsid w:val="00371CB4"/>
    <w:rsid w:val="00371D9C"/>
    <w:rsid w:val="0037225B"/>
    <w:rsid w:val="0037285D"/>
    <w:rsid w:val="00372AAA"/>
    <w:rsid w:val="00372C14"/>
    <w:rsid w:val="00372FE6"/>
    <w:rsid w:val="0037363A"/>
    <w:rsid w:val="00373743"/>
    <w:rsid w:val="003737DC"/>
    <w:rsid w:val="00373935"/>
    <w:rsid w:val="003739E0"/>
    <w:rsid w:val="00373B82"/>
    <w:rsid w:val="00373D8A"/>
    <w:rsid w:val="00373E61"/>
    <w:rsid w:val="00373EE5"/>
    <w:rsid w:val="00373EEF"/>
    <w:rsid w:val="00373F6E"/>
    <w:rsid w:val="00373FAE"/>
    <w:rsid w:val="00374851"/>
    <w:rsid w:val="00374C60"/>
    <w:rsid w:val="00374C8E"/>
    <w:rsid w:val="0037515E"/>
    <w:rsid w:val="00375599"/>
    <w:rsid w:val="00375E33"/>
    <w:rsid w:val="00375EDC"/>
    <w:rsid w:val="00375EEE"/>
    <w:rsid w:val="003762AD"/>
    <w:rsid w:val="003763A1"/>
    <w:rsid w:val="003767EF"/>
    <w:rsid w:val="003769DB"/>
    <w:rsid w:val="00376EE3"/>
    <w:rsid w:val="0037704A"/>
    <w:rsid w:val="0037760A"/>
    <w:rsid w:val="00377A32"/>
    <w:rsid w:val="00377DD3"/>
    <w:rsid w:val="00378206"/>
    <w:rsid w:val="003805E3"/>
    <w:rsid w:val="00380A38"/>
    <w:rsid w:val="00380DCA"/>
    <w:rsid w:val="00380FC0"/>
    <w:rsid w:val="0038131D"/>
    <w:rsid w:val="0038183F"/>
    <w:rsid w:val="00381E64"/>
    <w:rsid w:val="00381FC1"/>
    <w:rsid w:val="00382156"/>
    <w:rsid w:val="00382749"/>
    <w:rsid w:val="0038281F"/>
    <w:rsid w:val="00382F00"/>
    <w:rsid w:val="003833C8"/>
    <w:rsid w:val="003834C4"/>
    <w:rsid w:val="00383549"/>
    <w:rsid w:val="00383B40"/>
    <w:rsid w:val="00383B83"/>
    <w:rsid w:val="00384030"/>
    <w:rsid w:val="0038405C"/>
    <w:rsid w:val="003844C5"/>
    <w:rsid w:val="003844DB"/>
    <w:rsid w:val="00384740"/>
    <w:rsid w:val="00384A67"/>
    <w:rsid w:val="00384CC0"/>
    <w:rsid w:val="00384CCC"/>
    <w:rsid w:val="00384D02"/>
    <w:rsid w:val="00384D56"/>
    <w:rsid w:val="0038511E"/>
    <w:rsid w:val="00385337"/>
    <w:rsid w:val="0038559B"/>
    <w:rsid w:val="00385797"/>
    <w:rsid w:val="00385A59"/>
    <w:rsid w:val="00385A6E"/>
    <w:rsid w:val="00385CBC"/>
    <w:rsid w:val="00385FAC"/>
    <w:rsid w:val="00385FBD"/>
    <w:rsid w:val="00385FF3"/>
    <w:rsid w:val="0038631A"/>
    <w:rsid w:val="00386457"/>
    <w:rsid w:val="00386712"/>
    <w:rsid w:val="0038672B"/>
    <w:rsid w:val="00386814"/>
    <w:rsid w:val="00386A88"/>
    <w:rsid w:val="00386B19"/>
    <w:rsid w:val="00386BBA"/>
    <w:rsid w:val="0038726C"/>
    <w:rsid w:val="00390097"/>
    <w:rsid w:val="0039015A"/>
    <w:rsid w:val="0039061B"/>
    <w:rsid w:val="00391443"/>
    <w:rsid w:val="0039146E"/>
    <w:rsid w:val="0039167A"/>
    <w:rsid w:val="00391B2C"/>
    <w:rsid w:val="00392926"/>
    <w:rsid w:val="00392B56"/>
    <w:rsid w:val="00392FED"/>
    <w:rsid w:val="0039327C"/>
    <w:rsid w:val="003934DB"/>
    <w:rsid w:val="003936CE"/>
    <w:rsid w:val="00393C35"/>
    <w:rsid w:val="003941E7"/>
    <w:rsid w:val="003949E9"/>
    <w:rsid w:val="00394C88"/>
    <w:rsid w:val="00394CA6"/>
    <w:rsid w:val="003952F7"/>
    <w:rsid w:val="003956BF"/>
    <w:rsid w:val="00395764"/>
    <w:rsid w:val="00395E13"/>
    <w:rsid w:val="00396CC7"/>
    <w:rsid w:val="003970A8"/>
    <w:rsid w:val="003974CE"/>
    <w:rsid w:val="003978A2"/>
    <w:rsid w:val="00397B7F"/>
    <w:rsid w:val="003A005F"/>
    <w:rsid w:val="003A00E8"/>
    <w:rsid w:val="003A04FA"/>
    <w:rsid w:val="003A09EF"/>
    <w:rsid w:val="003A1337"/>
    <w:rsid w:val="003A1667"/>
    <w:rsid w:val="003A21F2"/>
    <w:rsid w:val="003A223E"/>
    <w:rsid w:val="003A22C8"/>
    <w:rsid w:val="003A23BA"/>
    <w:rsid w:val="003A264C"/>
    <w:rsid w:val="003A361B"/>
    <w:rsid w:val="003A3C8E"/>
    <w:rsid w:val="003A3D61"/>
    <w:rsid w:val="003A3DAE"/>
    <w:rsid w:val="003A3DDA"/>
    <w:rsid w:val="003A4006"/>
    <w:rsid w:val="003A413F"/>
    <w:rsid w:val="003A4143"/>
    <w:rsid w:val="003A42B6"/>
    <w:rsid w:val="003A4359"/>
    <w:rsid w:val="003A43D6"/>
    <w:rsid w:val="003A4481"/>
    <w:rsid w:val="003A4673"/>
    <w:rsid w:val="003A46F1"/>
    <w:rsid w:val="003A49F9"/>
    <w:rsid w:val="003A5505"/>
    <w:rsid w:val="003A5930"/>
    <w:rsid w:val="003A5A13"/>
    <w:rsid w:val="003A5A68"/>
    <w:rsid w:val="003A5D32"/>
    <w:rsid w:val="003A5E30"/>
    <w:rsid w:val="003A684B"/>
    <w:rsid w:val="003A6C1F"/>
    <w:rsid w:val="003A6C4A"/>
    <w:rsid w:val="003A6DFF"/>
    <w:rsid w:val="003A704C"/>
    <w:rsid w:val="003A7116"/>
    <w:rsid w:val="003A7682"/>
    <w:rsid w:val="003B0916"/>
    <w:rsid w:val="003B0EEE"/>
    <w:rsid w:val="003B13C5"/>
    <w:rsid w:val="003B13F0"/>
    <w:rsid w:val="003B14DE"/>
    <w:rsid w:val="003B1906"/>
    <w:rsid w:val="003B1AE2"/>
    <w:rsid w:val="003B1E0D"/>
    <w:rsid w:val="003B1FD7"/>
    <w:rsid w:val="003B20C4"/>
    <w:rsid w:val="003B2ED1"/>
    <w:rsid w:val="003B34FE"/>
    <w:rsid w:val="003B3740"/>
    <w:rsid w:val="003B3747"/>
    <w:rsid w:val="003B4659"/>
    <w:rsid w:val="003B4A27"/>
    <w:rsid w:val="003B4AA4"/>
    <w:rsid w:val="003B4AD7"/>
    <w:rsid w:val="003B509C"/>
    <w:rsid w:val="003B52CE"/>
    <w:rsid w:val="003B570D"/>
    <w:rsid w:val="003B580B"/>
    <w:rsid w:val="003B59A1"/>
    <w:rsid w:val="003B5A99"/>
    <w:rsid w:val="003B5C59"/>
    <w:rsid w:val="003B5EE9"/>
    <w:rsid w:val="003B6294"/>
    <w:rsid w:val="003B62E5"/>
    <w:rsid w:val="003B62EC"/>
    <w:rsid w:val="003B639B"/>
    <w:rsid w:val="003B6443"/>
    <w:rsid w:val="003B64A2"/>
    <w:rsid w:val="003B69F7"/>
    <w:rsid w:val="003B6AED"/>
    <w:rsid w:val="003B7CF3"/>
    <w:rsid w:val="003B7E1A"/>
    <w:rsid w:val="003C003E"/>
    <w:rsid w:val="003C04A7"/>
    <w:rsid w:val="003C06BF"/>
    <w:rsid w:val="003C0AD1"/>
    <w:rsid w:val="003C0D2A"/>
    <w:rsid w:val="003C0EFA"/>
    <w:rsid w:val="003C1510"/>
    <w:rsid w:val="003C16B6"/>
    <w:rsid w:val="003C19B8"/>
    <w:rsid w:val="003C19DB"/>
    <w:rsid w:val="003C1A2A"/>
    <w:rsid w:val="003C1B69"/>
    <w:rsid w:val="003C2214"/>
    <w:rsid w:val="003C26E4"/>
    <w:rsid w:val="003C271F"/>
    <w:rsid w:val="003C2936"/>
    <w:rsid w:val="003C2DDE"/>
    <w:rsid w:val="003C2E8B"/>
    <w:rsid w:val="003C315C"/>
    <w:rsid w:val="003C38EA"/>
    <w:rsid w:val="003C3C12"/>
    <w:rsid w:val="003C3E25"/>
    <w:rsid w:val="003C4238"/>
    <w:rsid w:val="003C4242"/>
    <w:rsid w:val="003C436C"/>
    <w:rsid w:val="003C4487"/>
    <w:rsid w:val="003C4A06"/>
    <w:rsid w:val="003C4F32"/>
    <w:rsid w:val="003C4F96"/>
    <w:rsid w:val="003C5027"/>
    <w:rsid w:val="003C51E6"/>
    <w:rsid w:val="003C51F1"/>
    <w:rsid w:val="003C55BD"/>
    <w:rsid w:val="003C5B7A"/>
    <w:rsid w:val="003C5D11"/>
    <w:rsid w:val="003C6592"/>
    <w:rsid w:val="003C665E"/>
    <w:rsid w:val="003C696B"/>
    <w:rsid w:val="003C6AA2"/>
    <w:rsid w:val="003C6BC6"/>
    <w:rsid w:val="003C7217"/>
    <w:rsid w:val="003C775B"/>
    <w:rsid w:val="003D0112"/>
    <w:rsid w:val="003D03F6"/>
    <w:rsid w:val="003D0498"/>
    <w:rsid w:val="003D0B01"/>
    <w:rsid w:val="003D0CF3"/>
    <w:rsid w:val="003D1275"/>
    <w:rsid w:val="003D1816"/>
    <w:rsid w:val="003D1B15"/>
    <w:rsid w:val="003D1C82"/>
    <w:rsid w:val="003D1D28"/>
    <w:rsid w:val="003D20BD"/>
    <w:rsid w:val="003D286D"/>
    <w:rsid w:val="003D2A4C"/>
    <w:rsid w:val="003D2A66"/>
    <w:rsid w:val="003D2A7D"/>
    <w:rsid w:val="003D2BFF"/>
    <w:rsid w:val="003D2C3F"/>
    <w:rsid w:val="003D36AB"/>
    <w:rsid w:val="003D397A"/>
    <w:rsid w:val="003D3FDB"/>
    <w:rsid w:val="003D4005"/>
    <w:rsid w:val="003D4372"/>
    <w:rsid w:val="003D4730"/>
    <w:rsid w:val="003D4B27"/>
    <w:rsid w:val="003D5118"/>
    <w:rsid w:val="003D5238"/>
    <w:rsid w:val="003D525C"/>
    <w:rsid w:val="003D5609"/>
    <w:rsid w:val="003D5AA5"/>
    <w:rsid w:val="003D5AF7"/>
    <w:rsid w:val="003D5B8B"/>
    <w:rsid w:val="003D5D1D"/>
    <w:rsid w:val="003D5E90"/>
    <w:rsid w:val="003D63B7"/>
    <w:rsid w:val="003D6823"/>
    <w:rsid w:val="003D68EF"/>
    <w:rsid w:val="003D6930"/>
    <w:rsid w:val="003D69D5"/>
    <w:rsid w:val="003D6B61"/>
    <w:rsid w:val="003D6DDA"/>
    <w:rsid w:val="003D6F12"/>
    <w:rsid w:val="003D7605"/>
    <w:rsid w:val="003D795A"/>
    <w:rsid w:val="003D7C4A"/>
    <w:rsid w:val="003E008C"/>
    <w:rsid w:val="003E04BE"/>
    <w:rsid w:val="003E04F7"/>
    <w:rsid w:val="003E04FD"/>
    <w:rsid w:val="003E0DCA"/>
    <w:rsid w:val="003E0F68"/>
    <w:rsid w:val="003E101F"/>
    <w:rsid w:val="003E10A2"/>
    <w:rsid w:val="003E1724"/>
    <w:rsid w:val="003E1A7A"/>
    <w:rsid w:val="003E1D63"/>
    <w:rsid w:val="003E1E5F"/>
    <w:rsid w:val="003E1F32"/>
    <w:rsid w:val="003E21A2"/>
    <w:rsid w:val="003E294F"/>
    <w:rsid w:val="003E29E9"/>
    <w:rsid w:val="003E2E95"/>
    <w:rsid w:val="003E307C"/>
    <w:rsid w:val="003E31F1"/>
    <w:rsid w:val="003E38A3"/>
    <w:rsid w:val="003E3BAA"/>
    <w:rsid w:val="003E3C1E"/>
    <w:rsid w:val="003E441B"/>
    <w:rsid w:val="003E4A73"/>
    <w:rsid w:val="003E529F"/>
    <w:rsid w:val="003E5D72"/>
    <w:rsid w:val="003E6351"/>
    <w:rsid w:val="003E638C"/>
    <w:rsid w:val="003E64F2"/>
    <w:rsid w:val="003E723A"/>
    <w:rsid w:val="003E7626"/>
    <w:rsid w:val="003E774E"/>
    <w:rsid w:val="003E78A4"/>
    <w:rsid w:val="003E7A0A"/>
    <w:rsid w:val="003E7A96"/>
    <w:rsid w:val="003E7CAC"/>
    <w:rsid w:val="003F0023"/>
    <w:rsid w:val="003F01C0"/>
    <w:rsid w:val="003F0953"/>
    <w:rsid w:val="003F095F"/>
    <w:rsid w:val="003F0A24"/>
    <w:rsid w:val="003F0FE3"/>
    <w:rsid w:val="003F106A"/>
    <w:rsid w:val="003F1640"/>
    <w:rsid w:val="003F1C41"/>
    <w:rsid w:val="003F22CD"/>
    <w:rsid w:val="003F26F9"/>
    <w:rsid w:val="003F2704"/>
    <w:rsid w:val="003F275D"/>
    <w:rsid w:val="003F2C1B"/>
    <w:rsid w:val="003F3559"/>
    <w:rsid w:val="003F3AC5"/>
    <w:rsid w:val="003F3DB0"/>
    <w:rsid w:val="003F45EA"/>
    <w:rsid w:val="003F4626"/>
    <w:rsid w:val="003F4A40"/>
    <w:rsid w:val="003F4F95"/>
    <w:rsid w:val="003F511D"/>
    <w:rsid w:val="003F5122"/>
    <w:rsid w:val="003F53A3"/>
    <w:rsid w:val="003F5414"/>
    <w:rsid w:val="003F5424"/>
    <w:rsid w:val="003F5555"/>
    <w:rsid w:val="003F55AD"/>
    <w:rsid w:val="003F5836"/>
    <w:rsid w:val="003F5A30"/>
    <w:rsid w:val="003F5FEF"/>
    <w:rsid w:val="003F6043"/>
    <w:rsid w:val="003F61B6"/>
    <w:rsid w:val="003F64C8"/>
    <w:rsid w:val="003F65E9"/>
    <w:rsid w:val="003F6A43"/>
    <w:rsid w:val="003F6B52"/>
    <w:rsid w:val="003F6C8F"/>
    <w:rsid w:val="003F6F18"/>
    <w:rsid w:val="003F6F45"/>
    <w:rsid w:val="003F7236"/>
    <w:rsid w:val="003F777B"/>
    <w:rsid w:val="003F7A10"/>
    <w:rsid w:val="003F7A86"/>
    <w:rsid w:val="003F7B79"/>
    <w:rsid w:val="003F7B8E"/>
    <w:rsid w:val="003F7D5A"/>
    <w:rsid w:val="003F7D79"/>
    <w:rsid w:val="003F7F19"/>
    <w:rsid w:val="003F7FF0"/>
    <w:rsid w:val="00400750"/>
    <w:rsid w:val="0040077D"/>
    <w:rsid w:val="00400CF5"/>
    <w:rsid w:val="004011BA"/>
    <w:rsid w:val="0040169D"/>
    <w:rsid w:val="0040187E"/>
    <w:rsid w:val="00401C7C"/>
    <w:rsid w:val="00401CE5"/>
    <w:rsid w:val="00401EC8"/>
    <w:rsid w:val="00401F93"/>
    <w:rsid w:val="00402228"/>
    <w:rsid w:val="00402644"/>
    <w:rsid w:val="004026FB"/>
    <w:rsid w:val="004027FD"/>
    <w:rsid w:val="0040296C"/>
    <w:rsid w:val="00402CB9"/>
    <w:rsid w:val="00403040"/>
    <w:rsid w:val="0040318F"/>
    <w:rsid w:val="00403505"/>
    <w:rsid w:val="00403672"/>
    <w:rsid w:val="004039D2"/>
    <w:rsid w:val="004039F8"/>
    <w:rsid w:val="00403EEF"/>
    <w:rsid w:val="00404512"/>
    <w:rsid w:val="004045A4"/>
    <w:rsid w:val="004045F7"/>
    <w:rsid w:val="004047D0"/>
    <w:rsid w:val="004048EE"/>
    <w:rsid w:val="004048FE"/>
    <w:rsid w:val="00404A39"/>
    <w:rsid w:val="00404DBF"/>
    <w:rsid w:val="00405265"/>
    <w:rsid w:val="00405528"/>
    <w:rsid w:val="0040580D"/>
    <w:rsid w:val="00405977"/>
    <w:rsid w:val="00405E52"/>
    <w:rsid w:val="00405F6C"/>
    <w:rsid w:val="0040600D"/>
    <w:rsid w:val="004060B5"/>
    <w:rsid w:val="00406CC4"/>
    <w:rsid w:val="00406F80"/>
    <w:rsid w:val="004078D9"/>
    <w:rsid w:val="004100E9"/>
    <w:rsid w:val="004106DA"/>
    <w:rsid w:val="004107BF"/>
    <w:rsid w:val="00410F75"/>
    <w:rsid w:val="0041130E"/>
    <w:rsid w:val="00411838"/>
    <w:rsid w:val="00411C28"/>
    <w:rsid w:val="0041251C"/>
    <w:rsid w:val="00412D28"/>
    <w:rsid w:val="00413088"/>
    <w:rsid w:val="004130AA"/>
    <w:rsid w:val="0041326B"/>
    <w:rsid w:val="004132F2"/>
    <w:rsid w:val="00413653"/>
    <w:rsid w:val="00413705"/>
    <w:rsid w:val="0041380C"/>
    <w:rsid w:val="00413B42"/>
    <w:rsid w:val="00413EF6"/>
    <w:rsid w:val="004141FC"/>
    <w:rsid w:val="00414587"/>
    <w:rsid w:val="004147D1"/>
    <w:rsid w:val="004148E9"/>
    <w:rsid w:val="00414A00"/>
    <w:rsid w:val="00414A3A"/>
    <w:rsid w:val="00414CD8"/>
    <w:rsid w:val="004153A6"/>
    <w:rsid w:val="00415DCC"/>
    <w:rsid w:val="0041610D"/>
    <w:rsid w:val="0041619B"/>
    <w:rsid w:val="004167F1"/>
    <w:rsid w:val="00416A05"/>
    <w:rsid w:val="00417000"/>
    <w:rsid w:val="00417F5B"/>
    <w:rsid w:val="004201F4"/>
    <w:rsid w:val="004203FD"/>
    <w:rsid w:val="004204F1"/>
    <w:rsid w:val="00420503"/>
    <w:rsid w:val="004205AF"/>
    <w:rsid w:val="00420AB6"/>
    <w:rsid w:val="00420B5D"/>
    <w:rsid w:val="00420D03"/>
    <w:rsid w:val="00421681"/>
    <w:rsid w:val="0042186A"/>
    <w:rsid w:val="0042189C"/>
    <w:rsid w:val="00421968"/>
    <w:rsid w:val="00421D4D"/>
    <w:rsid w:val="00421D50"/>
    <w:rsid w:val="00421EBA"/>
    <w:rsid w:val="00422222"/>
    <w:rsid w:val="00422500"/>
    <w:rsid w:val="00423172"/>
    <w:rsid w:val="00423200"/>
    <w:rsid w:val="00423319"/>
    <w:rsid w:val="00423749"/>
    <w:rsid w:val="004238E6"/>
    <w:rsid w:val="00423C93"/>
    <w:rsid w:val="00423D80"/>
    <w:rsid w:val="00423ECA"/>
    <w:rsid w:val="00423F76"/>
    <w:rsid w:val="00424517"/>
    <w:rsid w:val="004246F4"/>
    <w:rsid w:val="0042478B"/>
    <w:rsid w:val="004247C3"/>
    <w:rsid w:val="00424868"/>
    <w:rsid w:val="00424AF7"/>
    <w:rsid w:val="00424BF2"/>
    <w:rsid w:val="00424CC3"/>
    <w:rsid w:val="00424E12"/>
    <w:rsid w:val="0042538D"/>
    <w:rsid w:val="00425756"/>
    <w:rsid w:val="0042576B"/>
    <w:rsid w:val="00425EA2"/>
    <w:rsid w:val="004261C3"/>
    <w:rsid w:val="004261CF"/>
    <w:rsid w:val="00426757"/>
    <w:rsid w:val="004267DC"/>
    <w:rsid w:val="00426DAC"/>
    <w:rsid w:val="0042701C"/>
    <w:rsid w:val="00427347"/>
    <w:rsid w:val="00427486"/>
    <w:rsid w:val="00427508"/>
    <w:rsid w:val="00427B56"/>
    <w:rsid w:val="0043038D"/>
    <w:rsid w:val="00430624"/>
    <w:rsid w:val="0043068F"/>
    <w:rsid w:val="0043123C"/>
    <w:rsid w:val="00431E26"/>
    <w:rsid w:val="004321B2"/>
    <w:rsid w:val="004327F9"/>
    <w:rsid w:val="0043292F"/>
    <w:rsid w:val="00432FC7"/>
    <w:rsid w:val="00433443"/>
    <w:rsid w:val="00433599"/>
    <w:rsid w:val="00433FDD"/>
    <w:rsid w:val="004341D5"/>
    <w:rsid w:val="00434432"/>
    <w:rsid w:val="00434594"/>
    <w:rsid w:val="0043475A"/>
    <w:rsid w:val="00434F51"/>
    <w:rsid w:val="00434FD4"/>
    <w:rsid w:val="00435287"/>
    <w:rsid w:val="004359E2"/>
    <w:rsid w:val="004359F1"/>
    <w:rsid w:val="00435A19"/>
    <w:rsid w:val="00435A7E"/>
    <w:rsid w:val="00435B8E"/>
    <w:rsid w:val="00435E65"/>
    <w:rsid w:val="0043618D"/>
    <w:rsid w:val="004361E4"/>
    <w:rsid w:val="004363F3"/>
    <w:rsid w:val="004365E5"/>
    <w:rsid w:val="00436630"/>
    <w:rsid w:val="00436A1E"/>
    <w:rsid w:val="00436BC4"/>
    <w:rsid w:val="00436BC9"/>
    <w:rsid w:val="0043702E"/>
    <w:rsid w:val="004375B7"/>
    <w:rsid w:val="00437DB5"/>
    <w:rsid w:val="004403D5"/>
    <w:rsid w:val="0044045B"/>
    <w:rsid w:val="00440527"/>
    <w:rsid w:val="0044072F"/>
    <w:rsid w:val="00440868"/>
    <w:rsid w:val="00440EFD"/>
    <w:rsid w:val="00440F42"/>
    <w:rsid w:val="00440FD0"/>
    <w:rsid w:val="004410FC"/>
    <w:rsid w:val="00441188"/>
    <w:rsid w:val="00441990"/>
    <w:rsid w:val="004419DE"/>
    <w:rsid w:val="00441B56"/>
    <w:rsid w:val="00441B60"/>
    <w:rsid w:val="00441F44"/>
    <w:rsid w:val="0044214E"/>
    <w:rsid w:val="00442646"/>
    <w:rsid w:val="00442A63"/>
    <w:rsid w:val="00442FEB"/>
    <w:rsid w:val="00443DBD"/>
    <w:rsid w:val="00443E57"/>
    <w:rsid w:val="004440FB"/>
    <w:rsid w:val="0044429E"/>
    <w:rsid w:val="00444A50"/>
    <w:rsid w:val="00444AB7"/>
    <w:rsid w:val="00444BA7"/>
    <w:rsid w:val="00444C09"/>
    <w:rsid w:val="00444FE8"/>
    <w:rsid w:val="00445123"/>
    <w:rsid w:val="004452A4"/>
    <w:rsid w:val="004453C3"/>
    <w:rsid w:val="004453E5"/>
    <w:rsid w:val="00445B15"/>
    <w:rsid w:val="00445B7C"/>
    <w:rsid w:val="00445C39"/>
    <w:rsid w:val="0044601C"/>
    <w:rsid w:val="004461F2"/>
    <w:rsid w:val="00446290"/>
    <w:rsid w:val="00446455"/>
    <w:rsid w:val="004464E3"/>
    <w:rsid w:val="00446576"/>
    <w:rsid w:val="00446630"/>
    <w:rsid w:val="0044671F"/>
    <w:rsid w:val="00446D39"/>
    <w:rsid w:val="00447047"/>
    <w:rsid w:val="004478CA"/>
    <w:rsid w:val="00447B67"/>
    <w:rsid w:val="00447E06"/>
    <w:rsid w:val="00450124"/>
    <w:rsid w:val="0045012D"/>
    <w:rsid w:val="00450230"/>
    <w:rsid w:val="00450513"/>
    <w:rsid w:val="00450581"/>
    <w:rsid w:val="00450A1C"/>
    <w:rsid w:val="00450B34"/>
    <w:rsid w:val="00450D76"/>
    <w:rsid w:val="00451172"/>
    <w:rsid w:val="00451B75"/>
    <w:rsid w:val="00451C8F"/>
    <w:rsid w:val="00452701"/>
    <w:rsid w:val="00452C25"/>
    <w:rsid w:val="00453011"/>
    <w:rsid w:val="0045312A"/>
    <w:rsid w:val="00453316"/>
    <w:rsid w:val="00453390"/>
    <w:rsid w:val="00453651"/>
    <w:rsid w:val="00453AD2"/>
    <w:rsid w:val="00453FA3"/>
    <w:rsid w:val="00454188"/>
    <w:rsid w:val="0045419F"/>
    <w:rsid w:val="004542A8"/>
    <w:rsid w:val="00454394"/>
    <w:rsid w:val="00454490"/>
    <w:rsid w:val="004547F2"/>
    <w:rsid w:val="004549D9"/>
    <w:rsid w:val="00454A6B"/>
    <w:rsid w:val="00454D98"/>
    <w:rsid w:val="00454F65"/>
    <w:rsid w:val="00455485"/>
    <w:rsid w:val="0045579D"/>
    <w:rsid w:val="00455E64"/>
    <w:rsid w:val="00456009"/>
    <w:rsid w:val="00456054"/>
    <w:rsid w:val="0045615A"/>
    <w:rsid w:val="0045628B"/>
    <w:rsid w:val="0045637D"/>
    <w:rsid w:val="004563B6"/>
    <w:rsid w:val="00456722"/>
    <w:rsid w:val="00456971"/>
    <w:rsid w:val="004569C3"/>
    <w:rsid w:val="00456E80"/>
    <w:rsid w:val="0045729B"/>
    <w:rsid w:val="00457584"/>
    <w:rsid w:val="00457673"/>
    <w:rsid w:val="0045773D"/>
    <w:rsid w:val="00457810"/>
    <w:rsid w:val="004578EA"/>
    <w:rsid w:val="00457E23"/>
    <w:rsid w:val="00457EC4"/>
    <w:rsid w:val="0046034E"/>
    <w:rsid w:val="0046079A"/>
    <w:rsid w:val="00460AE3"/>
    <w:rsid w:val="00461646"/>
    <w:rsid w:val="00461802"/>
    <w:rsid w:val="004618C0"/>
    <w:rsid w:val="00461A2F"/>
    <w:rsid w:val="00461BC1"/>
    <w:rsid w:val="00461CCB"/>
    <w:rsid w:val="00461E31"/>
    <w:rsid w:val="00462430"/>
    <w:rsid w:val="004626FB"/>
    <w:rsid w:val="00462718"/>
    <w:rsid w:val="00462986"/>
    <w:rsid w:val="004629E8"/>
    <w:rsid w:val="004634D2"/>
    <w:rsid w:val="00463546"/>
    <w:rsid w:val="00463694"/>
    <w:rsid w:val="0046377A"/>
    <w:rsid w:val="00463BCC"/>
    <w:rsid w:val="00464178"/>
    <w:rsid w:val="004641F4"/>
    <w:rsid w:val="004642F5"/>
    <w:rsid w:val="0046462B"/>
    <w:rsid w:val="00464744"/>
    <w:rsid w:val="004647C3"/>
    <w:rsid w:val="0046488B"/>
    <w:rsid w:val="00464B54"/>
    <w:rsid w:val="00464BC7"/>
    <w:rsid w:val="00464CE1"/>
    <w:rsid w:val="00464D24"/>
    <w:rsid w:val="00464DF5"/>
    <w:rsid w:val="00464EB4"/>
    <w:rsid w:val="00464ED5"/>
    <w:rsid w:val="004652A2"/>
    <w:rsid w:val="00465372"/>
    <w:rsid w:val="004654F2"/>
    <w:rsid w:val="00465743"/>
    <w:rsid w:val="004657B1"/>
    <w:rsid w:val="0046639D"/>
    <w:rsid w:val="004667EF"/>
    <w:rsid w:val="004669FD"/>
    <w:rsid w:val="00466EC0"/>
    <w:rsid w:val="00467087"/>
    <w:rsid w:val="004670D4"/>
    <w:rsid w:val="004672AB"/>
    <w:rsid w:val="00467479"/>
    <w:rsid w:val="00467731"/>
    <w:rsid w:val="00467766"/>
    <w:rsid w:val="00467C97"/>
    <w:rsid w:val="00467CC5"/>
    <w:rsid w:val="00467F0A"/>
    <w:rsid w:val="00467F4C"/>
    <w:rsid w:val="004700AB"/>
    <w:rsid w:val="0047011A"/>
    <w:rsid w:val="004701EB"/>
    <w:rsid w:val="00470AE0"/>
    <w:rsid w:val="00470E8F"/>
    <w:rsid w:val="0047101E"/>
    <w:rsid w:val="0047107E"/>
    <w:rsid w:val="004713BC"/>
    <w:rsid w:val="004714E6"/>
    <w:rsid w:val="004715CD"/>
    <w:rsid w:val="004715F2"/>
    <w:rsid w:val="00471A72"/>
    <w:rsid w:val="00471D31"/>
    <w:rsid w:val="00472086"/>
    <w:rsid w:val="0047235A"/>
    <w:rsid w:val="00472983"/>
    <w:rsid w:val="00473161"/>
    <w:rsid w:val="00473197"/>
    <w:rsid w:val="004735BA"/>
    <w:rsid w:val="00473C98"/>
    <w:rsid w:val="00474AAD"/>
    <w:rsid w:val="00474EA9"/>
    <w:rsid w:val="00474EFD"/>
    <w:rsid w:val="004750A8"/>
    <w:rsid w:val="00475170"/>
    <w:rsid w:val="00475456"/>
    <w:rsid w:val="00475A5D"/>
    <w:rsid w:val="00475AF0"/>
    <w:rsid w:val="004762F3"/>
    <w:rsid w:val="0047657B"/>
    <w:rsid w:val="00476710"/>
    <w:rsid w:val="00476712"/>
    <w:rsid w:val="00476744"/>
    <w:rsid w:val="00476A93"/>
    <w:rsid w:val="00476AEC"/>
    <w:rsid w:val="00476C10"/>
    <w:rsid w:val="0047724A"/>
    <w:rsid w:val="0047761C"/>
    <w:rsid w:val="00477846"/>
    <w:rsid w:val="00477964"/>
    <w:rsid w:val="004779CB"/>
    <w:rsid w:val="00477CB8"/>
    <w:rsid w:val="00477E3B"/>
    <w:rsid w:val="00480689"/>
    <w:rsid w:val="0048073B"/>
    <w:rsid w:val="00480CA7"/>
    <w:rsid w:val="00480D18"/>
    <w:rsid w:val="00480D6F"/>
    <w:rsid w:val="00480D8D"/>
    <w:rsid w:val="00480E35"/>
    <w:rsid w:val="004811F8"/>
    <w:rsid w:val="0048129F"/>
    <w:rsid w:val="004813B8"/>
    <w:rsid w:val="0048149A"/>
    <w:rsid w:val="00481ACC"/>
    <w:rsid w:val="00481B85"/>
    <w:rsid w:val="00481E0E"/>
    <w:rsid w:val="0048210E"/>
    <w:rsid w:val="0048237B"/>
    <w:rsid w:val="004823F8"/>
    <w:rsid w:val="00482513"/>
    <w:rsid w:val="004828B2"/>
    <w:rsid w:val="00482D80"/>
    <w:rsid w:val="00483015"/>
    <w:rsid w:val="00483475"/>
    <w:rsid w:val="0048377F"/>
    <w:rsid w:val="00483794"/>
    <w:rsid w:val="004837C8"/>
    <w:rsid w:val="004837EF"/>
    <w:rsid w:val="004838B8"/>
    <w:rsid w:val="00483BB0"/>
    <w:rsid w:val="004841CC"/>
    <w:rsid w:val="0048449C"/>
    <w:rsid w:val="004845DF"/>
    <w:rsid w:val="00484DBF"/>
    <w:rsid w:val="00484DC0"/>
    <w:rsid w:val="00484DE0"/>
    <w:rsid w:val="00484F3F"/>
    <w:rsid w:val="004850D5"/>
    <w:rsid w:val="00485406"/>
    <w:rsid w:val="00485A7F"/>
    <w:rsid w:val="00485AF9"/>
    <w:rsid w:val="00486124"/>
    <w:rsid w:val="0048637B"/>
    <w:rsid w:val="00486455"/>
    <w:rsid w:val="00486553"/>
    <w:rsid w:val="0048661A"/>
    <w:rsid w:val="00486694"/>
    <w:rsid w:val="004866B5"/>
    <w:rsid w:val="004868FE"/>
    <w:rsid w:val="00486A50"/>
    <w:rsid w:val="00487030"/>
    <w:rsid w:val="00487031"/>
    <w:rsid w:val="00487044"/>
    <w:rsid w:val="00487057"/>
    <w:rsid w:val="0048751A"/>
    <w:rsid w:val="00487797"/>
    <w:rsid w:val="00487F8B"/>
    <w:rsid w:val="0049061A"/>
    <w:rsid w:val="00490A9E"/>
    <w:rsid w:val="00490F3B"/>
    <w:rsid w:val="00491361"/>
    <w:rsid w:val="004914AA"/>
    <w:rsid w:val="00491644"/>
    <w:rsid w:val="004919E4"/>
    <w:rsid w:val="0049201C"/>
    <w:rsid w:val="00492088"/>
    <w:rsid w:val="004921B1"/>
    <w:rsid w:val="0049221A"/>
    <w:rsid w:val="00492233"/>
    <w:rsid w:val="00492277"/>
    <w:rsid w:val="00492684"/>
    <w:rsid w:val="00492773"/>
    <w:rsid w:val="00492969"/>
    <w:rsid w:val="00492F04"/>
    <w:rsid w:val="00492F91"/>
    <w:rsid w:val="00493424"/>
    <w:rsid w:val="0049387C"/>
    <w:rsid w:val="0049391B"/>
    <w:rsid w:val="0049474D"/>
    <w:rsid w:val="004947D0"/>
    <w:rsid w:val="0049480B"/>
    <w:rsid w:val="00494F4D"/>
    <w:rsid w:val="0049506A"/>
    <w:rsid w:val="00495190"/>
    <w:rsid w:val="00495224"/>
    <w:rsid w:val="00495659"/>
    <w:rsid w:val="00495680"/>
    <w:rsid w:val="00495A24"/>
    <w:rsid w:val="00495A9C"/>
    <w:rsid w:val="00495EC0"/>
    <w:rsid w:val="00495ECF"/>
    <w:rsid w:val="00496695"/>
    <w:rsid w:val="00496CE5"/>
    <w:rsid w:val="00497180"/>
    <w:rsid w:val="004972BD"/>
    <w:rsid w:val="00497863"/>
    <w:rsid w:val="0049799C"/>
    <w:rsid w:val="00497CD9"/>
    <w:rsid w:val="004A036A"/>
    <w:rsid w:val="004A0521"/>
    <w:rsid w:val="004A0594"/>
    <w:rsid w:val="004A0973"/>
    <w:rsid w:val="004A0B6E"/>
    <w:rsid w:val="004A0BF8"/>
    <w:rsid w:val="004A0F41"/>
    <w:rsid w:val="004A11A0"/>
    <w:rsid w:val="004A11F7"/>
    <w:rsid w:val="004A1306"/>
    <w:rsid w:val="004A1312"/>
    <w:rsid w:val="004A1495"/>
    <w:rsid w:val="004A14F1"/>
    <w:rsid w:val="004A1C62"/>
    <w:rsid w:val="004A2690"/>
    <w:rsid w:val="004A2758"/>
    <w:rsid w:val="004A293D"/>
    <w:rsid w:val="004A2962"/>
    <w:rsid w:val="004A2B47"/>
    <w:rsid w:val="004A2B9F"/>
    <w:rsid w:val="004A2C8B"/>
    <w:rsid w:val="004A2C9A"/>
    <w:rsid w:val="004A2CC9"/>
    <w:rsid w:val="004A323D"/>
    <w:rsid w:val="004A3438"/>
    <w:rsid w:val="004A34B5"/>
    <w:rsid w:val="004A3533"/>
    <w:rsid w:val="004A3FC5"/>
    <w:rsid w:val="004A40E2"/>
    <w:rsid w:val="004A444C"/>
    <w:rsid w:val="004A49D8"/>
    <w:rsid w:val="004A4DE6"/>
    <w:rsid w:val="004A4DE8"/>
    <w:rsid w:val="004A4EE3"/>
    <w:rsid w:val="004A526E"/>
    <w:rsid w:val="004A53AF"/>
    <w:rsid w:val="004A599E"/>
    <w:rsid w:val="004A59A7"/>
    <w:rsid w:val="004A5B4E"/>
    <w:rsid w:val="004A5E4B"/>
    <w:rsid w:val="004A6082"/>
    <w:rsid w:val="004A68C9"/>
    <w:rsid w:val="004A6A52"/>
    <w:rsid w:val="004A6E97"/>
    <w:rsid w:val="004A6FBA"/>
    <w:rsid w:val="004A6FC8"/>
    <w:rsid w:val="004A7153"/>
    <w:rsid w:val="004A74F4"/>
    <w:rsid w:val="004A75D0"/>
    <w:rsid w:val="004A765B"/>
    <w:rsid w:val="004A7852"/>
    <w:rsid w:val="004A79DA"/>
    <w:rsid w:val="004A7ACC"/>
    <w:rsid w:val="004B0030"/>
    <w:rsid w:val="004B003F"/>
    <w:rsid w:val="004B01D7"/>
    <w:rsid w:val="004B0677"/>
    <w:rsid w:val="004B06A4"/>
    <w:rsid w:val="004B0B44"/>
    <w:rsid w:val="004B0B89"/>
    <w:rsid w:val="004B0C5E"/>
    <w:rsid w:val="004B0D6E"/>
    <w:rsid w:val="004B1105"/>
    <w:rsid w:val="004B1182"/>
    <w:rsid w:val="004B12B8"/>
    <w:rsid w:val="004B178D"/>
    <w:rsid w:val="004B1DE3"/>
    <w:rsid w:val="004B1F8E"/>
    <w:rsid w:val="004B204D"/>
    <w:rsid w:val="004B223F"/>
    <w:rsid w:val="004B23B8"/>
    <w:rsid w:val="004B260F"/>
    <w:rsid w:val="004B2B34"/>
    <w:rsid w:val="004B2C87"/>
    <w:rsid w:val="004B2EA4"/>
    <w:rsid w:val="004B2EC4"/>
    <w:rsid w:val="004B3300"/>
    <w:rsid w:val="004B38F0"/>
    <w:rsid w:val="004B3A55"/>
    <w:rsid w:val="004B3C7A"/>
    <w:rsid w:val="004B43E5"/>
    <w:rsid w:val="004B4501"/>
    <w:rsid w:val="004B45C4"/>
    <w:rsid w:val="004B4C34"/>
    <w:rsid w:val="004B4D60"/>
    <w:rsid w:val="004B4F62"/>
    <w:rsid w:val="004B5A43"/>
    <w:rsid w:val="004B5EF5"/>
    <w:rsid w:val="004B6612"/>
    <w:rsid w:val="004B70DD"/>
    <w:rsid w:val="004B72FD"/>
    <w:rsid w:val="004B7ABF"/>
    <w:rsid w:val="004B7EF7"/>
    <w:rsid w:val="004B7F14"/>
    <w:rsid w:val="004C01A7"/>
    <w:rsid w:val="004C078F"/>
    <w:rsid w:val="004C0DAC"/>
    <w:rsid w:val="004C0E68"/>
    <w:rsid w:val="004C0F06"/>
    <w:rsid w:val="004C13F0"/>
    <w:rsid w:val="004C2521"/>
    <w:rsid w:val="004C2560"/>
    <w:rsid w:val="004C2940"/>
    <w:rsid w:val="004C3374"/>
    <w:rsid w:val="004C3916"/>
    <w:rsid w:val="004C41D2"/>
    <w:rsid w:val="004C4214"/>
    <w:rsid w:val="004C43AE"/>
    <w:rsid w:val="004C4BE7"/>
    <w:rsid w:val="004C4E9B"/>
    <w:rsid w:val="004C4EC1"/>
    <w:rsid w:val="004C52BF"/>
    <w:rsid w:val="004C52CB"/>
    <w:rsid w:val="004C54A1"/>
    <w:rsid w:val="004C57D5"/>
    <w:rsid w:val="004C6873"/>
    <w:rsid w:val="004C689E"/>
    <w:rsid w:val="004C7547"/>
    <w:rsid w:val="004C75B9"/>
    <w:rsid w:val="004C762C"/>
    <w:rsid w:val="004C79C0"/>
    <w:rsid w:val="004C79E5"/>
    <w:rsid w:val="004C7D4E"/>
    <w:rsid w:val="004D01F3"/>
    <w:rsid w:val="004D0B2C"/>
    <w:rsid w:val="004D0C31"/>
    <w:rsid w:val="004D0E7D"/>
    <w:rsid w:val="004D1188"/>
    <w:rsid w:val="004D1539"/>
    <w:rsid w:val="004D1899"/>
    <w:rsid w:val="004D1B16"/>
    <w:rsid w:val="004D1DBA"/>
    <w:rsid w:val="004D1E3C"/>
    <w:rsid w:val="004D2042"/>
    <w:rsid w:val="004D24D2"/>
    <w:rsid w:val="004D2B1E"/>
    <w:rsid w:val="004D2FB5"/>
    <w:rsid w:val="004D306B"/>
    <w:rsid w:val="004D323D"/>
    <w:rsid w:val="004D3329"/>
    <w:rsid w:val="004D3480"/>
    <w:rsid w:val="004D3D03"/>
    <w:rsid w:val="004D4020"/>
    <w:rsid w:val="004D40D6"/>
    <w:rsid w:val="004D417D"/>
    <w:rsid w:val="004D4324"/>
    <w:rsid w:val="004D434A"/>
    <w:rsid w:val="004D4D41"/>
    <w:rsid w:val="004D4F01"/>
    <w:rsid w:val="004D5115"/>
    <w:rsid w:val="004D5429"/>
    <w:rsid w:val="004D5A34"/>
    <w:rsid w:val="004D5C99"/>
    <w:rsid w:val="004D5D93"/>
    <w:rsid w:val="004D5DB7"/>
    <w:rsid w:val="004D5FF0"/>
    <w:rsid w:val="004D6055"/>
    <w:rsid w:val="004D62CA"/>
    <w:rsid w:val="004D63B7"/>
    <w:rsid w:val="004D6479"/>
    <w:rsid w:val="004D6721"/>
    <w:rsid w:val="004D7372"/>
    <w:rsid w:val="004D795C"/>
    <w:rsid w:val="004D795F"/>
    <w:rsid w:val="004D7B70"/>
    <w:rsid w:val="004D7D03"/>
    <w:rsid w:val="004E0514"/>
    <w:rsid w:val="004E05B8"/>
    <w:rsid w:val="004E0D17"/>
    <w:rsid w:val="004E0D9B"/>
    <w:rsid w:val="004E0F26"/>
    <w:rsid w:val="004E0FA0"/>
    <w:rsid w:val="004E1088"/>
    <w:rsid w:val="004E1116"/>
    <w:rsid w:val="004E1251"/>
    <w:rsid w:val="004E12C8"/>
    <w:rsid w:val="004E16F0"/>
    <w:rsid w:val="004E18AE"/>
    <w:rsid w:val="004E18D6"/>
    <w:rsid w:val="004E1A0F"/>
    <w:rsid w:val="004E1B1C"/>
    <w:rsid w:val="004E1FFB"/>
    <w:rsid w:val="004E2041"/>
    <w:rsid w:val="004E20BD"/>
    <w:rsid w:val="004E2208"/>
    <w:rsid w:val="004E29DF"/>
    <w:rsid w:val="004E2A0A"/>
    <w:rsid w:val="004E2B99"/>
    <w:rsid w:val="004E2CA9"/>
    <w:rsid w:val="004E2FBE"/>
    <w:rsid w:val="004E3329"/>
    <w:rsid w:val="004E35DF"/>
    <w:rsid w:val="004E4240"/>
    <w:rsid w:val="004E435F"/>
    <w:rsid w:val="004E4403"/>
    <w:rsid w:val="004E4430"/>
    <w:rsid w:val="004E44CA"/>
    <w:rsid w:val="004E49E5"/>
    <w:rsid w:val="004E52CA"/>
    <w:rsid w:val="004E54DC"/>
    <w:rsid w:val="004E5575"/>
    <w:rsid w:val="004E5650"/>
    <w:rsid w:val="004E596C"/>
    <w:rsid w:val="004E5CCB"/>
    <w:rsid w:val="004E5D02"/>
    <w:rsid w:val="004E5E81"/>
    <w:rsid w:val="004E5F3F"/>
    <w:rsid w:val="004E6035"/>
    <w:rsid w:val="004E6090"/>
    <w:rsid w:val="004E650C"/>
    <w:rsid w:val="004E7010"/>
    <w:rsid w:val="004E7D6E"/>
    <w:rsid w:val="004F007C"/>
    <w:rsid w:val="004F01DC"/>
    <w:rsid w:val="004F0786"/>
    <w:rsid w:val="004F09A1"/>
    <w:rsid w:val="004F0B5E"/>
    <w:rsid w:val="004F0B90"/>
    <w:rsid w:val="004F1254"/>
    <w:rsid w:val="004F14A4"/>
    <w:rsid w:val="004F14B9"/>
    <w:rsid w:val="004F1A77"/>
    <w:rsid w:val="004F1ADC"/>
    <w:rsid w:val="004F1BCD"/>
    <w:rsid w:val="004F1C41"/>
    <w:rsid w:val="004F1D90"/>
    <w:rsid w:val="004F2152"/>
    <w:rsid w:val="004F22B2"/>
    <w:rsid w:val="004F22E8"/>
    <w:rsid w:val="004F2563"/>
    <w:rsid w:val="004F276C"/>
    <w:rsid w:val="004F27E7"/>
    <w:rsid w:val="004F2BA6"/>
    <w:rsid w:val="004F2DA4"/>
    <w:rsid w:val="004F2EDB"/>
    <w:rsid w:val="004F2F76"/>
    <w:rsid w:val="004F349C"/>
    <w:rsid w:val="004F358A"/>
    <w:rsid w:val="004F38BB"/>
    <w:rsid w:val="004F3F30"/>
    <w:rsid w:val="004F40B7"/>
    <w:rsid w:val="004F40C1"/>
    <w:rsid w:val="004F4121"/>
    <w:rsid w:val="004F4241"/>
    <w:rsid w:val="004F4566"/>
    <w:rsid w:val="004F4BBB"/>
    <w:rsid w:val="004F4EF9"/>
    <w:rsid w:val="004F5188"/>
    <w:rsid w:val="004F51DE"/>
    <w:rsid w:val="004F56A7"/>
    <w:rsid w:val="004F5A61"/>
    <w:rsid w:val="004F5B51"/>
    <w:rsid w:val="004F5BEB"/>
    <w:rsid w:val="004F5E89"/>
    <w:rsid w:val="004F64BD"/>
    <w:rsid w:val="004F6E16"/>
    <w:rsid w:val="004F700F"/>
    <w:rsid w:val="004F71D2"/>
    <w:rsid w:val="004F756D"/>
    <w:rsid w:val="004F7A34"/>
    <w:rsid w:val="004F7E1F"/>
    <w:rsid w:val="0050009C"/>
    <w:rsid w:val="005000BD"/>
    <w:rsid w:val="005000DB"/>
    <w:rsid w:val="0050031B"/>
    <w:rsid w:val="005006B5"/>
    <w:rsid w:val="00500985"/>
    <w:rsid w:val="00500E0F"/>
    <w:rsid w:val="005014E9"/>
    <w:rsid w:val="00501C91"/>
    <w:rsid w:val="00501DBC"/>
    <w:rsid w:val="00501EE6"/>
    <w:rsid w:val="0050212B"/>
    <w:rsid w:val="00502175"/>
    <w:rsid w:val="005021B6"/>
    <w:rsid w:val="00502201"/>
    <w:rsid w:val="00502334"/>
    <w:rsid w:val="0050288D"/>
    <w:rsid w:val="00502932"/>
    <w:rsid w:val="00502D60"/>
    <w:rsid w:val="00503484"/>
    <w:rsid w:val="00503584"/>
    <w:rsid w:val="00503692"/>
    <w:rsid w:val="00503697"/>
    <w:rsid w:val="005038A4"/>
    <w:rsid w:val="00503A21"/>
    <w:rsid w:val="00503ABE"/>
    <w:rsid w:val="00503D70"/>
    <w:rsid w:val="00503F97"/>
    <w:rsid w:val="00504596"/>
    <w:rsid w:val="0050470A"/>
    <w:rsid w:val="00504762"/>
    <w:rsid w:val="00504814"/>
    <w:rsid w:val="005048AC"/>
    <w:rsid w:val="005049C4"/>
    <w:rsid w:val="00504BE2"/>
    <w:rsid w:val="00504E6B"/>
    <w:rsid w:val="00504F6C"/>
    <w:rsid w:val="005057D1"/>
    <w:rsid w:val="00506098"/>
    <w:rsid w:val="00506510"/>
    <w:rsid w:val="00506511"/>
    <w:rsid w:val="0050695E"/>
    <w:rsid w:val="005071F5"/>
    <w:rsid w:val="00507336"/>
    <w:rsid w:val="00507658"/>
    <w:rsid w:val="005078B7"/>
    <w:rsid w:val="00507B66"/>
    <w:rsid w:val="00507CB4"/>
    <w:rsid w:val="00507CE1"/>
    <w:rsid w:val="00507D60"/>
    <w:rsid w:val="00507FBF"/>
    <w:rsid w:val="005107F2"/>
    <w:rsid w:val="00510DA6"/>
    <w:rsid w:val="00510E16"/>
    <w:rsid w:val="005117B3"/>
    <w:rsid w:val="005118FD"/>
    <w:rsid w:val="005118FF"/>
    <w:rsid w:val="005119EF"/>
    <w:rsid w:val="00511D93"/>
    <w:rsid w:val="00511DCF"/>
    <w:rsid w:val="005122EE"/>
    <w:rsid w:val="00512421"/>
    <w:rsid w:val="00512678"/>
    <w:rsid w:val="00512C65"/>
    <w:rsid w:val="00512CFE"/>
    <w:rsid w:val="00512EEA"/>
    <w:rsid w:val="00512FEE"/>
    <w:rsid w:val="0051326E"/>
    <w:rsid w:val="005134F3"/>
    <w:rsid w:val="005135AC"/>
    <w:rsid w:val="00513766"/>
    <w:rsid w:val="00513B8F"/>
    <w:rsid w:val="00513FEB"/>
    <w:rsid w:val="0051416B"/>
    <w:rsid w:val="0051417F"/>
    <w:rsid w:val="00514723"/>
    <w:rsid w:val="00514A4C"/>
    <w:rsid w:val="00514ADC"/>
    <w:rsid w:val="00514B4A"/>
    <w:rsid w:val="00514D83"/>
    <w:rsid w:val="00514E81"/>
    <w:rsid w:val="00515098"/>
    <w:rsid w:val="005155D4"/>
    <w:rsid w:val="00515B70"/>
    <w:rsid w:val="00515F2F"/>
    <w:rsid w:val="00515F3E"/>
    <w:rsid w:val="00515FE0"/>
    <w:rsid w:val="005163B6"/>
    <w:rsid w:val="005164EF"/>
    <w:rsid w:val="00516529"/>
    <w:rsid w:val="00516E37"/>
    <w:rsid w:val="0051714B"/>
    <w:rsid w:val="00517C04"/>
    <w:rsid w:val="00517EDA"/>
    <w:rsid w:val="0052011D"/>
    <w:rsid w:val="00520148"/>
    <w:rsid w:val="00520AC2"/>
    <w:rsid w:val="00520B6A"/>
    <w:rsid w:val="00520CED"/>
    <w:rsid w:val="00520F4C"/>
    <w:rsid w:val="00520F5E"/>
    <w:rsid w:val="0052126C"/>
    <w:rsid w:val="005213AB"/>
    <w:rsid w:val="00521731"/>
    <w:rsid w:val="0052184B"/>
    <w:rsid w:val="00521DCD"/>
    <w:rsid w:val="005220FB"/>
    <w:rsid w:val="0052234B"/>
    <w:rsid w:val="00522413"/>
    <w:rsid w:val="005224FD"/>
    <w:rsid w:val="00522673"/>
    <w:rsid w:val="005229FE"/>
    <w:rsid w:val="00522AB1"/>
    <w:rsid w:val="005230A0"/>
    <w:rsid w:val="00523183"/>
    <w:rsid w:val="005231CA"/>
    <w:rsid w:val="005234ED"/>
    <w:rsid w:val="005235A3"/>
    <w:rsid w:val="00523791"/>
    <w:rsid w:val="005237F0"/>
    <w:rsid w:val="00523B72"/>
    <w:rsid w:val="00523C12"/>
    <w:rsid w:val="00524137"/>
    <w:rsid w:val="00524423"/>
    <w:rsid w:val="00524484"/>
    <w:rsid w:val="005249AF"/>
    <w:rsid w:val="00524F20"/>
    <w:rsid w:val="005253A2"/>
    <w:rsid w:val="00525477"/>
    <w:rsid w:val="005254B6"/>
    <w:rsid w:val="005255CA"/>
    <w:rsid w:val="005256A1"/>
    <w:rsid w:val="0052584D"/>
    <w:rsid w:val="00525871"/>
    <w:rsid w:val="005258A3"/>
    <w:rsid w:val="00525C8B"/>
    <w:rsid w:val="00525F42"/>
    <w:rsid w:val="0052645C"/>
    <w:rsid w:val="0052664E"/>
    <w:rsid w:val="005268D0"/>
    <w:rsid w:val="00526BA6"/>
    <w:rsid w:val="0052768D"/>
    <w:rsid w:val="00527711"/>
    <w:rsid w:val="00527F4B"/>
    <w:rsid w:val="00530086"/>
    <w:rsid w:val="005305F2"/>
    <w:rsid w:val="0053072C"/>
    <w:rsid w:val="00530840"/>
    <w:rsid w:val="00530CE9"/>
    <w:rsid w:val="00530FC8"/>
    <w:rsid w:val="00531111"/>
    <w:rsid w:val="0053188E"/>
    <w:rsid w:val="00531BAC"/>
    <w:rsid w:val="005321E0"/>
    <w:rsid w:val="00532333"/>
    <w:rsid w:val="005325CC"/>
    <w:rsid w:val="00532677"/>
    <w:rsid w:val="00532DBA"/>
    <w:rsid w:val="00532E46"/>
    <w:rsid w:val="00533352"/>
    <w:rsid w:val="0053376A"/>
    <w:rsid w:val="0053381E"/>
    <w:rsid w:val="00533ED5"/>
    <w:rsid w:val="005340B9"/>
    <w:rsid w:val="00534167"/>
    <w:rsid w:val="0053442E"/>
    <w:rsid w:val="00534A9C"/>
    <w:rsid w:val="00534BB8"/>
    <w:rsid w:val="00534EAB"/>
    <w:rsid w:val="00534EE0"/>
    <w:rsid w:val="00534F0E"/>
    <w:rsid w:val="00534FDC"/>
    <w:rsid w:val="00535096"/>
    <w:rsid w:val="005355C5"/>
    <w:rsid w:val="00535B7C"/>
    <w:rsid w:val="00535DB8"/>
    <w:rsid w:val="00535F68"/>
    <w:rsid w:val="005360D4"/>
    <w:rsid w:val="00536678"/>
    <w:rsid w:val="00536F81"/>
    <w:rsid w:val="005371D0"/>
    <w:rsid w:val="00537586"/>
    <w:rsid w:val="005377F1"/>
    <w:rsid w:val="005378BE"/>
    <w:rsid w:val="00537963"/>
    <w:rsid w:val="00537FF8"/>
    <w:rsid w:val="00540007"/>
    <w:rsid w:val="0054022F"/>
    <w:rsid w:val="00540748"/>
    <w:rsid w:val="005409B0"/>
    <w:rsid w:val="00540B59"/>
    <w:rsid w:val="00540E19"/>
    <w:rsid w:val="005410D4"/>
    <w:rsid w:val="0054193E"/>
    <w:rsid w:val="00541C8D"/>
    <w:rsid w:val="00542919"/>
    <w:rsid w:val="00542965"/>
    <w:rsid w:val="00542ED2"/>
    <w:rsid w:val="00543AE8"/>
    <w:rsid w:val="0054428D"/>
    <w:rsid w:val="005442CE"/>
    <w:rsid w:val="00544563"/>
    <w:rsid w:val="005445F8"/>
    <w:rsid w:val="005448C9"/>
    <w:rsid w:val="00544C55"/>
    <w:rsid w:val="00544D9A"/>
    <w:rsid w:val="005451AF"/>
    <w:rsid w:val="0054573B"/>
    <w:rsid w:val="00545AC7"/>
    <w:rsid w:val="00545C5C"/>
    <w:rsid w:val="00545DBF"/>
    <w:rsid w:val="00546201"/>
    <w:rsid w:val="00546214"/>
    <w:rsid w:val="005464C7"/>
    <w:rsid w:val="00546BA8"/>
    <w:rsid w:val="00546C23"/>
    <w:rsid w:val="00546D14"/>
    <w:rsid w:val="00546FEF"/>
    <w:rsid w:val="0054781D"/>
    <w:rsid w:val="00547FD6"/>
    <w:rsid w:val="005501C8"/>
    <w:rsid w:val="005501D5"/>
    <w:rsid w:val="00550917"/>
    <w:rsid w:val="00550AAF"/>
    <w:rsid w:val="00550AC1"/>
    <w:rsid w:val="00550BF1"/>
    <w:rsid w:val="00550FDC"/>
    <w:rsid w:val="00551078"/>
    <w:rsid w:val="005510B7"/>
    <w:rsid w:val="0055180A"/>
    <w:rsid w:val="00551BB0"/>
    <w:rsid w:val="00551D37"/>
    <w:rsid w:val="0055207C"/>
    <w:rsid w:val="00552280"/>
    <w:rsid w:val="0055248D"/>
    <w:rsid w:val="005526B7"/>
    <w:rsid w:val="0055270D"/>
    <w:rsid w:val="00552864"/>
    <w:rsid w:val="00552DBC"/>
    <w:rsid w:val="00552F1D"/>
    <w:rsid w:val="005539BA"/>
    <w:rsid w:val="00553BD9"/>
    <w:rsid w:val="005542E4"/>
    <w:rsid w:val="00554443"/>
    <w:rsid w:val="00554BA2"/>
    <w:rsid w:val="00554BB6"/>
    <w:rsid w:val="00554BFD"/>
    <w:rsid w:val="0055503D"/>
    <w:rsid w:val="005550DB"/>
    <w:rsid w:val="00555293"/>
    <w:rsid w:val="005552AE"/>
    <w:rsid w:val="00555365"/>
    <w:rsid w:val="005554B7"/>
    <w:rsid w:val="005558C0"/>
    <w:rsid w:val="00555926"/>
    <w:rsid w:val="00556627"/>
    <w:rsid w:val="00556685"/>
    <w:rsid w:val="00556692"/>
    <w:rsid w:val="00556A28"/>
    <w:rsid w:val="00556B09"/>
    <w:rsid w:val="00556DCB"/>
    <w:rsid w:val="00556E79"/>
    <w:rsid w:val="0055734E"/>
    <w:rsid w:val="005579C7"/>
    <w:rsid w:val="00557DE2"/>
    <w:rsid w:val="005600CE"/>
    <w:rsid w:val="005600EA"/>
    <w:rsid w:val="0056040F"/>
    <w:rsid w:val="0056044B"/>
    <w:rsid w:val="005605C1"/>
    <w:rsid w:val="00560813"/>
    <w:rsid w:val="00560F79"/>
    <w:rsid w:val="005614AC"/>
    <w:rsid w:val="0056165B"/>
    <w:rsid w:val="0056167D"/>
    <w:rsid w:val="005618B9"/>
    <w:rsid w:val="00561B89"/>
    <w:rsid w:val="00561BA6"/>
    <w:rsid w:val="00561E6D"/>
    <w:rsid w:val="005620BA"/>
    <w:rsid w:val="005625A4"/>
    <w:rsid w:val="005625B6"/>
    <w:rsid w:val="00562740"/>
    <w:rsid w:val="00562A65"/>
    <w:rsid w:val="005635D5"/>
    <w:rsid w:val="0056391A"/>
    <w:rsid w:val="00563AAC"/>
    <w:rsid w:val="00564120"/>
    <w:rsid w:val="00564185"/>
    <w:rsid w:val="00564426"/>
    <w:rsid w:val="00564AB9"/>
    <w:rsid w:val="00564D78"/>
    <w:rsid w:val="005651D0"/>
    <w:rsid w:val="00565396"/>
    <w:rsid w:val="005653EA"/>
    <w:rsid w:val="005657A2"/>
    <w:rsid w:val="00565D5D"/>
    <w:rsid w:val="005662A0"/>
    <w:rsid w:val="0056692C"/>
    <w:rsid w:val="005678C3"/>
    <w:rsid w:val="00567F60"/>
    <w:rsid w:val="005700BE"/>
    <w:rsid w:val="005704CC"/>
    <w:rsid w:val="00570B29"/>
    <w:rsid w:val="00570D3C"/>
    <w:rsid w:val="00570E33"/>
    <w:rsid w:val="00570FA3"/>
    <w:rsid w:val="00571029"/>
    <w:rsid w:val="005710D7"/>
    <w:rsid w:val="00571183"/>
    <w:rsid w:val="005713A5"/>
    <w:rsid w:val="005715C6"/>
    <w:rsid w:val="00571822"/>
    <w:rsid w:val="00571B2D"/>
    <w:rsid w:val="00571CB6"/>
    <w:rsid w:val="00571D4A"/>
    <w:rsid w:val="00572091"/>
    <w:rsid w:val="005725E0"/>
    <w:rsid w:val="00572D3B"/>
    <w:rsid w:val="005730A5"/>
    <w:rsid w:val="00573633"/>
    <w:rsid w:val="00573F48"/>
    <w:rsid w:val="00574185"/>
    <w:rsid w:val="005747C0"/>
    <w:rsid w:val="005753DD"/>
    <w:rsid w:val="00575772"/>
    <w:rsid w:val="00575B61"/>
    <w:rsid w:val="00575F1B"/>
    <w:rsid w:val="005760A6"/>
    <w:rsid w:val="00576501"/>
    <w:rsid w:val="00576906"/>
    <w:rsid w:val="00576B07"/>
    <w:rsid w:val="00576B51"/>
    <w:rsid w:val="00576E8D"/>
    <w:rsid w:val="00576F02"/>
    <w:rsid w:val="00577178"/>
    <w:rsid w:val="00577A00"/>
    <w:rsid w:val="00580292"/>
    <w:rsid w:val="0058096D"/>
    <w:rsid w:val="00581927"/>
    <w:rsid w:val="00581C50"/>
    <w:rsid w:val="00581C79"/>
    <w:rsid w:val="0058206E"/>
    <w:rsid w:val="005823FA"/>
    <w:rsid w:val="00582E0D"/>
    <w:rsid w:val="005840C7"/>
    <w:rsid w:val="00584165"/>
    <w:rsid w:val="00584350"/>
    <w:rsid w:val="00584521"/>
    <w:rsid w:val="00584B93"/>
    <w:rsid w:val="00584B9D"/>
    <w:rsid w:val="00584C9E"/>
    <w:rsid w:val="00584FDF"/>
    <w:rsid w:val="0058525F"/>
    <w:rsid w:val="005852D7"/>
    <w:rsid w:val="005858B3"/>
    <w:rsid w:val="00585B2F"/>
    <w:rsid w:val="00585BE3"/>
    <w:rsid w:val="00585E3D"/>
    <w:rsid w:val="00586101"/>
    <w:rsid w:val="0058623A"/>
    <w:rsid w:val="005864B0"/>
    <w:rsid w:val="00586D70"/>
    <w:rsid w:val="005873EE"/>
    <w:rsid w:val="00587555"/>
    <w:rsid w:val="0058771C"/>
    <w:rsid w:val="00587C4D"/>
    <w:rsid w:val="00587CEC"/>
    <w:rsid w:val="00590119"/>
    <w:rsid w:val="005903AB"/>
    <w:rsid w:val="0059064A"/>
    <w:rsid w:val="005909FD"/>
    <w:rsid w:val="00590C83"/>
    <w:rsid w:val="00590DF7"/>
    <w:rsid w:val="00590EB6"/>
    <w:rsid w:val="0059111C"/>
    <w:rsid w:val="00591287"/>
    <w:rsid w:val="00591572"/>
    <w:rsid w:val="005919E8"/>
    <w:rsid w:val="00591A7B"/>
    <w:rsid w:val="00591DF9"/>
    <w:rsid w:val="00592167"/>
    <w:rsid w:val="005926B9"/>
    <w:rsid w:val="005929A0"/>
    <w:rsid w:val="00592B83"/>
    <w:rsid w:val="00592B9B"/>
    <w:rsid w:val="00592C50"/>
    <w:rsid w:val="005931FB"/>
    <w:rsid w:val="00593349"/>
    <w:rsid w:val="00593383"/>
    <w:rsid w:val="0059369B"/>
    <w:rsid w:val="00593786"/>
    <w:rsid w:val="00593C84"/>
    <w:rsid w:val="005940C3"/>
    <w:rsid w:val="005941E2"/>
    <w:rsid w:val="00594253"/>
    <w:rsid w:val="00594285"/>
    <w:rsid w:val="00594327"/>
    <w:rsid w:val="0059454F"/>
    <w:rsid w:val="005945A1"/>
    <w:rsid w:val="00594671"/>
    <w:rsid w:val="00594728"/>
    <w:rsid w:val="005949CD"/>
    <w:rsid w:val="00594C1E"/>
    <w:rsid w:val="00594EAC"/>
    <w:rsid w:val="0059534A"/>
    <w:rsid w:val="00595DF3"/>
    <w:rsid w:val="00595E4E"/>
    <w:rsid w:val="00595F30"/>
    <w:rsid w:val="00595F78"/>
    <w:rsid w:val="005965C9"/>
    <w:rsid w:val="005966BF"/>
    <w:rsid w:val="005967C4"/>
    <w:rsid w:val="00596A41"/>
    <w:rsid w:val="00596CAE"/>
    <w:rsid w:val="00596E23"/>
    <w:rsid w:val="005971AB"/>
    <w:rsid w:val="005975E4"/>
    <w:rsid w:val="00597960"/>
    <w:rsid w:val="00597DE4"/>
    <w:rsid w:val="005A043E"/>
    <w:rsid w:val="005A0537"/>
    <w:rsid w:val="005A0A53"/>
    <w:rsid w:val="005A0D28"/>
    <w:rsid w:val="005A0D42"/>
    <w:rsid w:val="005A0F0F"/>
    <w:rsid w:val="005A0F8A"/>
    <w:rsid w:val="005A0FA5"/>
    <w:rsid w:val="005A107F"/>
    <w:rsid w:val="005A110C"/>
    <w:rsid w:val="005A12F7"/>
    <w:rsid w:val="005A1636"/>
    <w:rsid w:val="005A1A75"/>
    <w:rsid w:val="005A1B0A"/>
    <w:rsid w:val="005A1D87"/>
    <w:rsid w:val="005A2146"/>
    <w:rsid w:val="005A2222"/>
    <w:rsid w:val="005A2941"/>
    <w:rsid w:val="005A3433"/>
    <w:rsid w:val="005A35B5"/>
    <w:rsid w:val="005A3B22"/>
    <w:rsid w:val="005A3B43"/>
    <w:rsid w:val="005A3C08"/>
    <w:rsid w:val="005A4057"/>
    <w:rsid w:val="005A4352"/>
    <w:rsid w:val="005A47D4"/>
    <w:rsid w:val="005A4A4C"/>
    <w:rsid w:val="005A4F9A"/>
    <w:rsid w:val="005A5362"/>
    <w:rsid w:val="005A5454"/>
    <w:rsid w:val="005A5567"/>
    <w:rsid w:val="005A5ACB"/>
    <w:rsid w:val="005A5FCE"/>
    <w:rsid w:val="005A6010"/>
    <w:rsid w:val="005A6290"/>
    <w:rsid w:val="005A6444"/>
    <w:rsid w:val="005A6533"/>
    <w:rsid w:val="005A6665"/>
    <w:rsid w:val="005A6A3D"/>
    <w:rsid w:val="005A6D0F"/>
    <w:rsid w:val="005A6FF9"/>
    <w:rsid w:val="005A70C1"/>
    <w:rsid w:val="005A77C2"/>
    <w:rsid w:val="005A78EF"/>
    <w:rsid w:val="005A7D79"/>
    <w:rsid w:val="005B0370"/>
    <w:rsid w:val="005B04AB"/>
    <w:rsid w:val="005B05BE"/>
    <w:rsid w:val="005B0635"/>
    <w:rsid w:val="005B0CDF"/>
    <w:rsid w:val="005B0FB1"/>
    <w:rsid w:val="005B1031"/>
    <w:rsid w:val="005B1923"/>
    <w:rsid w:val="005B1988"/>
    <w:rsid w:val="005B1D52"/>
    <w:rsid w:val="005B2196"/>
    <w:rsid w:val="005B237B"/>
    <w:rsid w:val="005B29D4"/>
    <w:rsid w:val="005B2B13"/>
    <w:rsid w:val="005B2B26"/>
    <w:rsid w:val="005B2E09"/>
    <w:rsid w:val="005B2EBD"/>
    <w:rsid w:val="005B3362"/>
    <w:rsid w:val="005B34B9"/>
    <w:rsid w:val="005B3508"/>
    <w:rsid w:val="005B4915"/>
    <w:rsid w:val="005B497C"/>
    <w:rsid w:val="005B4B23"/>
    <w:rsid w:val="005B4C88"/>
    <w:rsid w:val="005B4EA5"/>
    <w:rsid w:val="005B4F56"/>
    <w:rsid w:val="005B51BE"/>
    <w:rsid w:val="005B5330"/>
    <w:rsid w:val="005B5396"/>
    <w:rsid w:val="005B542F"/>
    <w:rsid w:val="005B5BF4"/>
    <w:rsid w:val="005B5F96"/>
    <w:rsid w:val="005B6337"/>
    <w:rsid w:val="005B6349"/>
    <w:rsid w:val="005B64F9"/>
    <w:rsid w:val="005B65D8"/>
    <w:rsid w:val="005B6DE0"/>
    <w:rsid w:val="005B6F87"/>
    <w:rsid w:val="005B7006"/>
    <w:rsid w:val="005B746A"/>
    <w:rsid w:val="005B75A4"/>
    <w:rsid w:val="005B760E"/>
    <w:rsid w:val="005B7A6D"/>
    <w:rsid w:val="005C0746"/>
    <w:rsid w:val="005C0A85"/>
    <w:rsid w:val="005C0B60"/>
    <w:rsid w:val="005C10C1"/>
    <w:rsid w:val="005C15C0"/>
    <w:rsid w:val="005C17D1"/>
    <w:rsid w:val="005C1B6C"/>
    <w:rsid w:val="005C1F01"/>
    <w:rsid w:val="005C1F0C"/>
    <w:rsid w:val="005C1F61"/>
    <w:rsid w:val="005C2255"/>
    <w:rsid w:val="005C2547"/>
    <w:rsid w:val="005C2611"/>
    <w:rsid w:val="005C2635"/>
    <w:rsid w:val="005C2649"/>
    <w:rsid w:val="005C3087"/>
    <w:rsid w:val="005C37DD"/>
    <w:rsid w:val="005C3F62"/>
    <w:rsid w:val="005C43A1"/>
    <w:rsid w:val="005C4BD1"/>
    <w:rsid w:val="005C4C4C"/>
    <w:rsid w:val="005C4E42"/>
    <w:rsid w:val="005C4F2A"/>
    <w:rsid w:val="005C4F33"/>
    <w:rsid w:val="005C54A2"/>
    <w:rsid w:val="005C5677"/>
    <w:rsid w:val="005C56C4"/>
    <w:rsid w:val="005C5A8C"/>
    <w:rsid w:val="005C5D90"/>
    <w:rsid w:val="005C6483"/>
    <w:rsid w:val="005C65F5"/>
    <w:rsid w:val="005C670D"/>
    <w:rsid w:val="005C674D"/>
    <w:rsid w:val="005C68C0"/>
    <w:rsid w:val="005C6E97"/>
    <w:rsid w:val="005C742A"/>
    <w:rsid w:val="005C7535"/>
    <w:rsid w:val="005C75F0"/>
    <w:rsid w:val="005C7634"/>
    <w:rsid w:val="005C76CF"/>
    <w:rsid w:val="005C77A5"/>
    <w:rsid w:val="005C77EE"/>
    <w:rsid w:val="005C792E"/>
    <w:rsid w:val="005C7BB0"/>
    <w:rsid w:val="005C7EC4"/>
    <w:rsid w:val="005C7F26"/>
    <w:rsid w:val="005D043F"/>
    <w:rsid w:val="005D09E8"/>
    <w:rsid w:val="005D1047"/>
    <w:rsid w:val="005D118D"/>
    <w:rsid w:val="005D11CD"/>
    <w:rsid w:val="005D15AC"/>
    <w:rsid w:val="005D165A"/>
    <w:rsid w:val="005D1695"/>
    <w:rsid w:val="005D1831"/>
    <w:rsid w:val="005D1B49"/>
    <w:rsid w:val="005D219F"/>
    <w:rsid w:val="005D24DF"/>
    <w:rsid w:val="005D24F4"/>
    <w:rsid w:val="005D266F"/>
    <w:rsid w:val="005D267B"/>
    <w:rsid w:val="005D26A7"/>
    <w:rsid w:val="005D28CB"/>
    <w:rsid w:val="005D2D75"/>
    <w:rsid w:val="005D2F68"/>
    <w:rsid w:val="005D31A5"/>
    <w:rsid w:val="005D32BA"/>
    <w:rsid w:val="005D32FA"/>
    <w:rsid w:val="005D35EA"/>
    <w:rsid w:val="005D3E21"/>
    <w:rsid w:val="005D3F89"/>
    <w:rsid w:val="005D408A"/>
    <w:rsid w:val="005D4168"/>
    <w:rsid w:val="005D4213"/>
    <w:rsid w:val="005D42AD"/>
    <w:rsid w:val="005D5D89"/>
    <w:rsid w:val="005D647A"/>
    <w:rsid w:val="005D65D3"/>
    <w:rsid w:val="005D6ADF"/>
    <w:rsid w:val="005D6DF9"/>
    <w:rsid w:val="005D6E05"/>
    <w:rsid w:val="005D6E44"/>
    <w:rsid w:val="005D6E71"/>
    <w:rsid w:val="005D72DC"/>
    <w:rsid w:val="005D7308"/>
    <w:rsid w:val="005D791C"/>
    <w:rsid w:val="005D7B22"/>
    <w:rsid w:val="005D7BAC"/>
    <w:rsid w:val="005D7CFC"/>
    <w:rsid w:val="005D7ED7"/>
    <w:rsid w:val="005E01C1"/>
    <w:rsid w:val="005E0380"/>
    <w:rsid w:val="005E056C"/>
    <w:rsid w:val="005E09E9"/>
    <w:rsid w:val="005E0AEF"/>
    <w:rsid w:val="005E0C0F"/>
    <w:rsid w:val="005E1510"/>
    <w:rsid w:val="005E1604"/>
    <w:rsid w:val="005E17AE"/>
    <w:rsid w:val="005E17D7"/>
    <w:rsid w:val="005E1956"/>
    <w:rsid w:val="005E19AC"/>
    <w:rsid w:val="005E1C5F"/>
    <w:rsid w:val="005E2169"/>
    <w:rsid w:val="005E21BF"/>
    <w:rsid w:val="005E2964"/>
    <w:rsid w:val="005E2CEF"/>
    <w:rsid w:val="005E2FB9"/>
    <w:rsid w:val="005E32BB"/>
    <w:rsid w:val="005E33CC"/>
    <w:rsid w:val="005E3A8C"/>
    <w:rsid w:val="005E3B30"/>
    <w:rsid w:val="005E4038"/>
    <w:rsid w:val="005E4060"/>
    <w:rsid w:val="005E4616"/>
    <w:rsid w:val="005E4642"/>
    <w:rsid w:val="005E46EA"/>
    <w:rsid w:val="005E4A9A"/>
    <w:rsid w:val="005E4B14"/>
    <w:rsid w:val="005E4CA6"/>
    <w:rsid w:val="005E51F3"/>
    <w:rsid w:val="005E5307"/>
    <w:rsid w:val="005E535E"/>
    <w:rsid w:val="005E5673"/>
    <w:rsid w:val="005E567B"/>
    <w:rsid w:val="005E5711"/>
    <w:rsid w:val="005E5E4E"/>
    <w:rsid w:val="005E6190"/>
    <w:rsid w:val="005E62A4"/>
    <w:rsid w:val="005E6795"/>
    <w:rsid w:val="005E67EC"/>
    <w:rsid w:val="005E6920"/>
    <w:rsid w:val="005E73B2"/>
    <w:rsid w:val="005E76C2"/>
    <w:rsid w:val="005E7825"/>
    <w:rsid w:val="005E785B"/>
    <w:rsid w:val="005E7910"/>
    <w:rsid w:val="005E7A4C"/>
    <w:rsid w:val="005E7DD3"/>
    <w:rsid w:val="005F040A"/>
    <w:rsid w:val="005F0644"/>
    <w:rsid w:val="005F0685"/>
    <w:rsid w:val="005F0752"/>
    <w:rsid w:val="005F0DB7"/>
    <w:rsid w:val="005F15E2"/>
    <w:rsid w:val="005F1EF0"/>
    <w:rsid w:val="005F2C1C"/>
    <w:rsid w:val="005F2DE5"/>
    <w:rsid w:val="005F33F1"/>
    <w:rsid w:val="005F35B3"/>
    <w:rsid w:val="005F360B"/>
    <w:rsid w:val="005F3886"/>
    <w:rsid w:val="005F3BA5"/>
    <w:rsid w:val="005F3F00"/>
    <w:rsid w:val="005F4330"/>
    <w:rsid w:val="005F4FA8"/>
    <w:rsid w:val="005F525E"/>
    <w:rsid w:val="005F530A"/>
    <w:rsid w:val="005F53AE"/>
    <w:rsid w:val="005F5B17"/>
    <w:rsid w:val="005F5D1D"/>
    <w:rsid w:val="005F5D35"/>
    <w:rsid w:val="005F5F45"/>
    <w:rsid w:val="005F6237"/>
    <w:rsid w:val="005F6898"/>
    <w:rsid w:val="005F692F"/>
    <w:rsid w:val="005F7013"/>
    <w:rsid w:val="005F734B"/>
    <w:rsid w:val="005F734F"/>
    <w:rsid w:val="005F76B0"/>
    <w:rsid w:val="005F781E"/>
    <w:rsid w:val="005F79A6"/>
    <w:rsid w:val="005F7B2F"/>
    <w:rsid w:val="005F7F1A"/>
    <w:rsid w:val="0060012F"/>
    <w:rsid w:val="006001FE"/>
    <w:rsid w:val="00600683"/>
    <w:rsid w:val="00600766"/>
    <w:rsid w:val="0060092E"/>
    <w:rsid w:val="00601355"/>
    <w:rsid w:val="006016F4"/>
    <w:rsid w:val="00601B94"/>
    <w:rsid w:val="00602168"/>
    <w:rsid w:val="006022E2"/>
    <w:rsid w:val="00602BE9"/>
    <w:rsid w:val="00603C01"/>
    <w:rsid w:val="00604349"/>
    <w:rsid w:val="00604852"/>
    <w:rsid w:val="00604C99"/>
    <w:rsid w:val="00604ECD"/>
    <w:rsid w:val="00604F58"/>
    <w:rsid w:val="00604F80"/>
    <w:rsid w:val="006051D7"/>
    <w:rsid w:val="00605230"/>
    <w:rsid w:val="00605386"/>
    <w:rsid w:val="0060541A"/>
    <w:rsid w:val="0060565D"/>
    <w:rsid w:val="006056A6"/>
    <w:rsid w:val="006057DA"/>
    <w:rsid w:val="00605B2D"/>
    <w:rsid w:val="00605BF0"/>
    <w:rsid w:val="00605F58"/>
    <w:rsid w:val="006064B1"/>
    <w:rsid w:val="006066AD"/>
    <w:rsid w:val="00606924"/>
    <w:rsid w:val="00606D03"/>
    <w:rsid w:val="006076BC"/>
    <w:rsid w:val="006077BB"/>
    <w:rsid w:val="00607975"/>
    <w:rsid w:val="00607DDC"/>
    <w:rsid w:val="00610055"/>
    <w:rsid w:val="00610238"/>
    <w:rsid w:val="0061050D"/>
    <w:rsid w:val="00610795"/>
    <w:rsid w:val="00610955"/>
    <w:rsid w:val="00610CC4"/>
    <w:rsid w:val="00610D55"/>
    <w:rsid w:val="00610EE0"/>
    <w:rsid w:val="00611073"/>
    <w:rsid w:val="00612A4C"/>
    <w:rsid w:val="006130E8"/>
    <w:rsid w:val="006134AA"/>
    <w:rsid w:val="00613717"/>
    <w:rsid w:val="006137EA"/>
    <w:rsid w:val="00613801"/>
    <w:rsid w:val="00613AF8"/>
    <w:rsid w:val="00613AFC"/>
    <w:rsid w:val="00613B1B"/>
    <w:rsid w:val="00613BCC"/>
    <w:rsid w:val="006140B7"/>
    <w:rsid w:val="0061444B"/>
    <w:rsid w:val="00614514"/>
    <w:rsid w:val="00614779"/>
    <w:rsid w:val="00614D1A"/>
    <w:rsid w:val="00614ED5"/>
    <w:rsid w:val="00614F25"/>
    <w:rsid w:val="00615591"/>
    <w:rsid w:val="006156F0"/>
    <w:rsid w:val="00615CC7"/>
    <w:rsid w:val="006161EF"/>
    <w:rsid w:val="00616269"/>
    <w:rsid w:val="006166E5"/>
    <w:rsid w:val="00616C0E"/>
    <w:rsid w:val="00616C1D"/>
    <w:rsid w:val="00616CFD"/>
    <w:rsid w:val="00616E33"/>
    <w:rsid w:val="00616EBF"/>
    <w:rsid w:val="00617211"/>
    <w:rsid w:val="00617277"/>
    <w:rsid w:val="00617473"/>
    <w:rsid w:val="00617579"/>
    <w:rsid w:val="0061780D"/>
    <w:rsid w:val="00617824"/>
    <w:rsid w:val="00617A25"/>
    <w:rsid w:val="00617B83"/>
    <w:rsid w:val="00617CBB"/>
    <w:rsid w:val="00617E8F"/>
    <w:rsid w:val="00620193"/>
    <w:rsid w:val="00620340"/>
    <w:rsid w:val="0062072B"/>
    <w:rsid w:val="00620CEA"/>
    <w:rsid w:val="00620EAA"/>
    <w:rsid w:val="00621410"/>
    <w:rsid w:val="00621B1D"/>
    <w:rsid w:val="00621B48"/>
    <w:rsid w:val="00621E3E"/>
    <w:rsid w:val="00621E50"/>
    <w:rsid w:val="0062271A"/>
    <w:rsid w:val="0062274C"/>
    <w:rsid w:val="006227ED"/>
    <w:rsid w:val="00622DF4"/>
    <w:rsid w:val="00622F00"/>
    <w:rsid w:val="00623009"/>
    <w:rsid w:val="006232EB"/>
    <w:rsid w:val="0062361D"/>
    <w:rsid w:val="006238AC"/>
    <w:rsid w:val="006239E5"/>
    <w:rsid w:val="00623CFD"/>
    <w:rsid w:val="00623D9B"/>
    <w:rsid w:val="006242AA"/>
    <w:rsid w:val="0062446F"/>
    <w:rsid w:val="00624738"/>
    <w:rsid w:val="0062477B"/>
    <w:rsid w:val="00624C61"/>
    <w:rsid w:val="00624E19"/>
    <w:rsid w:val="00624EC1"/>
    <w:rsid w:val="00624F59"/>
    <w:rsid w:val="0062572E"/>
    <w:rsid w:val="00625A32"/>
    <w:rsid w:val="00625A97"/>
    <w:rsid w:val="00625B08"/>
    <w:rsid w:val="00625E96"/>
    <w:rsid w:val="00625FE4"/>
    <w:rsid w:val="00625FE7"/>
    <w:rsid w:val="0062619F"/>
    <w:rsid w:val="00626409"/>
    <w:rsid w:val="00626BED"/>
    <w:rsid w:val="00626CDE"/>
    <w:rsid w:val="00626DDB"/>
    <w:rsid w:val="00627137"/>
    <w:rsid w:val="00627CCB"/>
    <w:rsid w:val="00627D87"/>
    <w:rsid w:val="00627DC1"/>
    <w:rsid w:val="0063015E"/>
    <w:rsid w:val="00630176"/>
    <w:rsid w:val="00630884"/>
    <w:rsid w:val="00630C66"/>
    <w:rsid w:val="00630D14"/>
    <w:rsid w:val="00630F3E"/>
    <w:rsid w:val="0063140F"/>
    <w:rsid w:val="0063145B"/>
    <w:rsid w:val="006314E4"/>
    <w:rsid w:val="00631A7E"/>
    <w:rsid w:val="00631E05"/>
    <w:rsid w:val="00631FB4"/>
    <w:rsid w:val="00632257"/>
    <w:rsid w:val="00632A88"/>
    <w:rsid w:val="00632E5A"/>
    <w:rsid w:val="00632EC8"/>
    <w:rsid w:val="006334DE"/>
    <w:rsid w:val="006334FA"/>
    <w:rsid w:val="00633695"/>
    <w:rsid w:val="006336EF"/>
    <w:rsid w:val="00633CBF"/>
    <w:rsid w:val="00633DAD"/>
    <w:rsid w:val="00633FD9"/>
    <w:rsid w:val="00634314"/>
    <w:rsid w:val="0063432A"/>
    <w:rsid w:val="0063436D"/>
    <w:rsid w:val="006348DF"/>
    <w:rsid w:val="006351E9"/>
    <w:rsid w:val="0063542F"/>
    <w:rsid w:val="00635459"/>
    <w:rsid w:val="00635805"/>
    <w:rsid w:val="00635AB0"/>
    <w:rsid w:val="00635ADA"/>
    <w:rsid w:val="00635B3E"/>
    <w:rsid w:val="006360C7"/>
    <w:rsid w:val="00636208"/>
    <w:rsid w:val="00636D92"/>
    <w:rsid w:val="00636F2A"/>
    <w:rsid w:val="00636F9E"/>
    <w:rsid w:val="0063706B"/>
    <w:rsid w:val="00637070"/>
    <w:rsid w:val="00637141"/>
    <w:rsid w:val="006374C5"/>
    <w:rsid w:val="006375DF"/>
    <w:rsid w:val="00637A4F"/>
    <w:rsid w:val="006404EC"/>
    <w:rsid w:val="00640AFB"/>
    <w:rsid w:val="00640FBD"/>
    <w:rsid w:val="00641305"/>
    <w:rsid w:val="006413C2"/>
    <w:rsid w:val="00641619"/>
    <w:rsid w:val="00641660"/>
    <w:rsid w:val="00641C50"/>
    <w:rsid w:val="00641D7F"/>
    <w:rsid w:val="0064238A"/>
    <w:rsid w:val="0064254F"/>
    <w:rsid w:val="00642681"/>
    <w:rsid w:val="0064273E"/>
    <w:rsid w:val="0064281E"/>
    <w:rsid w:val="00642B02"/>
    <w:rsid w:val="00642E9F"/>
    <w:rsid w:val="00642EA6"/>
    <w:rsid w:val="00642F16"/>
    <w:rsid w:val="006432B8"/>
    <w:rsid w:val="006433F8"/>
    <w:rsid w:val="006434A6"/>
    <w:rsid w:val="006437D3"/>
    <w:rsid w:val="00643A1A"/>
    <w:rsid w:val="00643E6E"/>
    <w:rsid w:val="00643E7E"/>
    <w:rsid w:val="00643F23"/>
    <w:rsid w:val="0064428E"/>
    <w:rsid w:val="0064450F"/>
    <w:rsid w:val="00644743"/>
    <w:rsid w:val="0064486C"/>
    <w:rsid w:val="0064488D"/>
    <w:rsid w:val="00644A70"/>
    <w:rsid w:val="00645446"/>
    <w:rsid w:val="0064563B"/>
    <w:rsid w:val="0064577B"/>
    <w:rsid w:val="00645A48"/>
    <w:rsid w:val="00645ABC"/>
    <w:rsid w:val="00645DCB"/>
    <w:rsid w:val="0064664E"/>
    <w:rsid w:val="0064683E"/>
    <w:rsid w:val="00646AF4"/>
    <w:rsid w:val="00646F78"/>
    <w:rsid w:val="00647729"/>
    <w:rsid w:val="00647D04"/>
    <w:rsid w:val="00647E00"/>
    <w:rsid w:val="006502D3"/>
    <w:rsid w:val="0065030B"/>
    <w:rsid w:val="0065062F"/>
    <w:rsid w:val="006507EC"/>
    <w:rsid w:val="00650BF1"/>
    <w:rsid w:val="00650FC3"/>
    <w:rsid w:val="00651055"/>
    <w:rsid w:val="0065120C"/>
    <w:rsid w:val="00651A1C"/>
    <w:rsid w:val="00651A34"/>
    <w:rsid w:val="00651C3B"/>
    <w:rsid w:val="00651D17"/>
    <w:rsid w:val="00652498"/>
    <w:rsid w:val="006524A6"/>
    <w:rsid w:val="006526C2"/>
    <w:rsid w:val="00652747"/>
    <w:rsid w:val="00652B27"/>
    <w:rsid w:val="00652D82"/>
    <w:rsid w:val="00653824"/>
    <w:rsid w:val="00653932"/>
    <w:rsid w:val="00653938"/>
    <w:rsid w:val="006539CC"/>
    <w:rsid w:val="0065422C"/>
    <w:rsid w:val="0065438E"/>
    <w:rsid w:val="0065450C"/>
    <w:rsid w:val="006547AE"/>
    <w:rsid w:val="006547C2"/>
    <w:rsid w:val="00654AB7"/>
    <w:rsid w:val="00654C54"/>
    <w:rsid w:val="00654DB9"/>
    <w:rsid w:val="00654E5D"/>
    <w:rsid w:val="00655799"/>
    <w:rsid w:val="00655943"/>
    <w:rsid w:val="00656097"/>
    <w:rsid w:val="00656296"/>
    <w:rsid w:val="00656387"/>
    <w:rsid w:val="0065696D"/>
    <w:rsid w:val="00657046"/>
    <w:rsid w:val="0065717A"/>
    <w:rsid w:val="00657233"/>
    <w:rsid w:val="006575D5"/>
    <w:rsid w:val="00657722"/>
    <w:rsid w:val="00657B0E"/>
    <w:rsid w:val="00657C7D"/>
    <w:rsid w:val="00657D54"/>
    <w:rsid w:val="00657D9D"/>
    <w:rsid w:val="006603AA"/>
    <w:rsid w:val="00660922"/>
    <w:rsid w:val="00660EE0"/>
    <w:rsid w:val="006613FF"/>
    <w:rsid w:val="00661CEB"/>
    <w:rsid w:val="00661D44"/>
    <w:rsid w:val="00661DA7"/>
    <w:rsid w:val="00662AAF"/>
    <w:rsid w:val="00662B26"/>
    <w:rsid w:val="00662FA4"/>
    <w:rsid w:val="00662FC7"/>
    <w:rsid w:val="006630D1"/>
    <w:rsid w:val="0066323D"/>
    <w:rsid w:val="00663493"/>
    <w:rsid w:val="006634C6"/>
    <w:rsid w:val="00663A40"/>
    <w:rsid w:val="00663B81"/>
    <w:rsid w:val="00663C41"/>
    <w:rsid w:val="00663DF9"/>
    <w:rsid w:val="00663E43"/>
    <w:rsid w:val="0066411A"/>
    <w:rsid w:val="006642FE"/>
    <w:rsid w:val="006645D2"/>
    <w:rsid w:val="00664675"/>
    <w:rsid w:val="00664DE3"/>
    <w:rsid w:val="00664F23"/>
    <w:rsid w:val="00665068"/>
    <w:rsid w:val="00665466"/>
    <w:rsid w:val="00665782"/>
    <w:rsid w:val="00665A75"/>
    <w:rsid w:val="00665A82"/>
    <w:rsid w:val="00665C5F"/>
    <w:rsid w:val="006661CC"/>
    <w:rsid w:val="0066637B"/>
    <w:rsid w:val="00666516"/>
    <w:rsid w:val="006667DB"/>
    <w:rsid w:val="00666866"/>
    <w:rsid w:val="00666879"/>
    <w:rsid w:val="006668DA"/>
    <w:rsid w:val="00666AE9"/>
    <w:rsid w:val="00666CCA"/>
    <w:rsid w:val="00667202"/>
    <w:rsid w:val="0066736A"/>
    <w:rsid w:val="006677A2"/>
    <w:rsid w:val="0066797E"/>
    <w:rsid w:val="00667A99"/>
    <w:rsid w:val="006700EF"/>
    <w:rsid w:val="006701CA"/>
    <w:rsid w:val="006702D4"/>
    <w:rsid w:val="00670913"/>
    <w:rsid w:val="00670AB1"/>
    <w:rsid w:val="00670BA9"/>
    <w:rsid w:val="00670F48"/>
    <w:rsid w:val="00671314"/>
    <w:rsid w:val="0067148C"/>
    <w:rsid w:val="00671671"/>
    <w:rsid w:val="006718E6"/>
    <w:rsid w:val="00671A15"/>
    <w:rsid w:val="006722C0"/>
    <w:rsid w:val="0067243C"/>
    <w:rsid w:val="00672C90"/>
    <w:rsid w:val="00672D9F"/>
    <w:rsid w:val="00672FDD"/>
    <w:rsid w:val="006730D2"/>
    <w:rsid w:val="00673DA0"/>
    <w:rsid w:val="00673F4D"/>
    <w:rsid w:val="00674354"/>
    <w:rsid w:val="0067459D"/>
    <w:rsid w:val="00674812"/>
    <w:rsid w:val="00674816"/>
    <w:rsid w:val="00675566"/>
    <w:rsid w:val="00675763"/>
    <w:rsid w:val="00675868"/>
    <w:rsid w:val="0067638A"/>
    <w:rsid w:val="00676409"/>
    <w:rsid w:val="006764BF"/>
    <w:rsid w:val="00676713"/>
    <w:rsid w:val="00676C34"/>
    <w:rsid w:val="00676F04"/>
    <w:rsid w:val="00677180"/>
    <w:rsid w:val="0067774D"/>
    <w:rsid w:val="006778D6"/>
    <w:rsid w:val="00677A8D"/>
    <w:rsid w:val="00677E6A"/>
    <w:rsid w:val="00677E9C"/>
    <w:rsid w:val="006800F5"/>
    <w:rsid w:val="0068051B"/>
    <w:rsid w:val="00680727"/>
    <w:rsid w:val="00680D36"/>
    <w:rsid w:val="00680E7C"/>
    <w:rsid w:val="006810A2"/>
    <w:rsid w:val="006812CC"/>
    <w:rsid w:val="00681707"/>
    <w:rsid w:val="00681C95"/>
    <w:rsid w:val="00681C9D"/>
    <w:rsid w:val="00681CE2"/>
    <w:rsid w:val="006821A0"/>
    <w:rsid w:val="006825AD"/>
    <w:rsid w:val="00682815"/>
    <w:rsid w:val="0068299A"/>
    <w:rsid w:val="0068327B"/>
    <w:rsid w:val="006832D7"/>
    <w:rsid w:val="00683890"/>
    <w:rsid w:val="00683DC3"/>
    <w:rsid w:val="00684005"/>
    <w:rsid w:val="0068465C"/>
    <w:rsid w:val="00684813"/>
    <w:rsid w:val="0068485E"/>
    <w:rsid w:val="006848D7"/>
    <w:rsid w:val="006848E3"/>
    <w:rsid w:val="00684E60"/>
    <w:rsid w:val="00685C38"/>
    <w:rsid w:val="00686386"/>
    <w:rsid w:val="00686669"/>
    <w:rsid w:val="00686680"/>
    <w:rsid w:val="006868C3"/>
    <w:rsid w:val="00686900"/>
    <w:rsid w:val="00686A5D"/>
    <w:rsid w:val="00690370"/>
    <w:rsid w:val="00690426"/>
    <w:rsid w:val="006905ED"/>
    <w:rsid w:val="006907CC"/>
    <w:rsid w:val="00690891"/>
    <w:rsid w:val="00690DC4"/>
    <w:rsid w:val="00691005"/>
    <w:rsid w:val="006911D7"/>
    <w:rsid w:val="00691230"/>
    <w:rsid w:val="006915BB"/>
    <w:rsid w:val="006919AD"/>
    <w:rsid w:val="00691BC0"/>
    <w:rsid w:val="00691C5D"/>
    <w:rsid w:val="00691D10"/>
    <w:rsid w:val="00691D8B"/>
    <w:rsid w:val="00691DC9"/>
    <w:rsid w:val="00691EF9"/>
    <w:rsid w:val="00692098"/>
    <w:rsid w:val="00692533"/>
    <w:rsid w:val="006928E1"/>
    <w:rsid w:val="00692969"/>
    <w:rsid w:val="00692F3D"/>
    <w:rsid w:val="0069305A"/>
    <w:rsid w:val="00693108"/>
    <w:rsid w:val="006933EC"/>
    <w:rsid w:val="00693465"/>
    <w:rsid w:val="006936C8"/>
    <w:rsid w:val="0069388E"/>
    <w:rsid w:val="006939D5"/>
    <w:rsid w:val="00693F09"/>
    <w:rsid w:val="00694044"/>
    <w:rsid w:val="0069425C"/>
    <w:rsid w:val="00694406"/>
    <w:rsid w:val="00694412"/>
    <w:rsid w:val="00694461"/>
    <w:rsid w:val="0069455E"/>
    <w:rsid w:val="006948B1"/>
    <w:rsid w:val="006948FF"/>
    <w:rsid w:val="00694CEE"/>
    <w:rsid w:val="00694E27"/>
    <w:rsid w:val="00695183"/>
    <w:rsid w:val="00695551"/>
    <w:rsid w:val="00695933"/>
    <w:rsid w:val="00695A9D"/>
    <w:rsid w:val="00695F20"/>
    <w:rsid w:val="00695FC0"/>
    <w:rsid w:val="00695FD8"/>
    <w:rsid w:val="00695FED"/>
    <w:rsid w:val="00696369"/>
    <w:rsid w:val="0069657C"/>
    <w:rsid w:val="0069675E"/>
    <w:rsid w:val="00696C71"/>
    <w:rsid w:val="006972BA"/>
    <w:rsid w:val="00697425"/>
    <w:rsid w:val="00697461"/>
    <w:rsid w:val="00697889"/>
    <w:rsid w:val="0069797D"/>
    <w:rsid w:val="006979DC"/>
    <w:rsid w:val="00697A9F"/>
    <w:rsid w:val="006A0717"/>
    <w:rsid w:val="006A0E63"/>
    <w:rsid w:val="006A0E7C"/>
    <w:rsid w:val="006A0F9E"/>
    <w:rsid w:val="006A109E"/>
    <w:rsid w:val="006A13BC"/>
    <w:rsid w:val="006A1547"/>
    <w:rsid w:val="006A196D"/>
    <w:rsid w:val="006A1CA5"/>
    <w:rsid w:val="006A1CE6"/>
    <w:rsid w:val="006A1D32"/>
    <w:rsid w:val="006A1E1E"/>
    <w:rsid w:val="006A1ED2"/>
    <w:rsid w:val="006A1FA1"/>
    <w:rsid w:val="006A2088"/>
    <w:rsid w:val="006A26CA"/>
    <w:rsid w:val="006A27CA"/>
    <w:rsid w:val="006A2C23"/>
    <w:rsid w:val="006A2D93"/>
    <w:rsid w:val="006A2FC3"/>
    <w:rsid w:val="006A32F9"/>
    <w:rsid w:val="006A36D6"/>
    <w:rsid w:val="006A3757"/>
    <w:rsid w:val="006A39E8"/>
    <w:rsid w:val="006A3CE0"/>
    <w:rsid w:val="006A407E"/>
    <w:rsid w:val="006A4166"/>
    <w:rsid w:val="006A4203"/>
    <w:rsid w:val="006A431F"/>
    <w:rsid w:val="006A443E"/>
    <w:rsid w:val="006A4515"/>
    <w:rsid w:val="006A470C"/>
    <w:rsid w:val="006A4880"/>
    <w:rsid w:val="006A4D1F"/>
    <w:rsid w:val="006A4D9D"/>
    <w:rsid w:val="006A4E56"/>
    <w:rsid w:val="006A4FBF"/>
    <w:rsid w:val="006A5279"/>
    <w:rsid w:val="006A532A"/>
    <w:rsid w:val="006A56E5"/>
    <w:rsid w:val="006A5828"/>
    <w:rsid w:val="006A5E02"/>
    <w:rsid w:val="006A5EAD"/>
    <w:rsid w:val="006A6248"/>
    <w:rsid w:val="006A6254"/>
    <w:rsid w:val="006A66FB"/>
    <w:rsid w:val="006A678B"/>
    <w:rsid w:val="006A67A8"/>
    <w:rsid w:val="006A67B3"/>
    <w:rsid w:val="006A67E1"/>
    <w:rsid w:val="006A68D3"/>
    <w:rsid w:val="006A7049"/>
    <w:rsid w:val="006A73A3"/>
    <w:rsid w:val="006A75AD"/>
    <w:rsid w:val="006A7AC8"/>
    <w:rsid w:val="006A7DBD"/>
    <w:rsid w:val="006B0134"/>
    <w:rsid w:val="006B03A3"/>
    <w:rsid w:val="006B069C"/>
    <w:rsid w:val="006B0D41"/>
    <w:rsid w:val="006B0E08"/>
    <w:rsid w:val="006B0E42"/>
    <w:rsid w:val="006B0F2E"/>
    <w:rsid w:val="006B0F94"/>
    <w:rsid w:val="006B1371"/>
    <w:rsid w:val="006B1459"/>
    <w:rsid w:val="006B1487"/>
    <w:rsid w:val="006B15B7"/>
    <w:rsid w:val="006B175A"/>
    <w:rsid w:val="006B1782"/>
    <w:rsid w:val="006B1AEA"/>
    <w:rsid w:val="006B1F6E"/>
    <w:rsid w:val="006B22C9"/>
    <w:rsid w:val="006B241D"/>
    <w:rsid w:val="006B2B3F"/>
    <w:rsid w:val="006B2E3D"/>
    <w:rsid w:val="006B2EAB"/>
    <w:rsid w:val="006B3069"/>
    <w:rsid w:val="006B31D2"/>
    <w:rsid w:val="006B3371"/>
    <w:rsid w:val="006B33EA"/>
    <w:rsid w:val="006B3690"/>
    <w:rsid w:val="006B3F58"/>
    <w:rsid w:val="006B41A2"/>
    <w:rsid w:val="006B41B7"/>
    <w:rsid w:val="006B4363"/>
    <w:rsid w:val="006B4371"/>
    <w:rsid w:val="006B4EBC"/>
    <w:rsid w:val="006B4F24"/>
    <w:rsid w:val="006B5977"/>
    <w:rsid w:val="006B5C52"/>
    <w:rsid w:val="006B5F0A"/>
    <w:rsid w:val="006B664E"/>
    <w:rsid w:val="006B68D0"/>
    <w:rsid w:val="006B6BC3"/>
    <w:rsid w:val="006B6F20"/>
    <w:rsid w:val="006B701C"/>
    <w:rsid w:val="006B78F5"/>
    <w:rsid w:val="006B79E0"/>
    <w:rsid w:val="006B7D5A"/>
    <w:rsid w:val="006C028A"/>
    <w:rsid w:val="006C0803"/>
    <w:rsid w:val="006C0A58"/>
    <w:rsid w:val="006C10AD"/>
    <w:rsid w:val="006C15EE"/>
    <w:rsid w:val="006C1623"/>
    <w:rsid w:val="006C1AF2"/>
    <w:rsid w:val="006C1F69"/>
    <w:rsid w:val="006C232F"/>
    <w:rsid w:val="006C2630"/>
    <w:rsid w:val="006C3907"/>
    <w:rsid w:val="006C3C40"/>
    <w:rsid w:val="006C3C4B"/>
    <w:rsid w:val="006C3E3E"/>
    <w:rsid w:val="006C4EEF"/>
    <w:rsid w:val="006C5360"/>
    <w:rsid w:val="006C554B"/>
    <w:rsid w:val="006C5563"/>
    <w:rsid w:val="006C59FC"/>
    <w:rsid w:val="006C5BC2"/>
    <w:rsid w:val="006C5BCA"/>
    <w:rsid w:val="006C5DF0"/>
    <w:rsid w:val="006C5E6D"/>
    <w:rsid w:val="006C5FA1"/>
    <w:rsid w:val="006C5FC2"/>
    <w:rsid w:val="006C5FCD"/>
    <w:rsid w:val="006C60D3"/>
    <w:rsid w:val="006C67A1"/>
    <w:rsid w:val="006C6AE6"/>
    <w:rsid w:val="006C6BD7"/>
    <w:rsid w:val="006C6E27"/>
    <w:rsid w:val="006C6EBF"/>
    <w:rsid w:val="006C708E"/>
    <w:rsid w:val="006C70D6"/>
    <w:rsid w:val="006C71BB"/>
    <w:rsid w:val="006C71BF"/>
    <w:rsid w:val="006C71E1"/>
    <w:rsid w:val="006C7232"/>
    <w:rsid w:val="006C72C7"/>
    <w:rsid w:val="006C73EF"/>
    <w:rsid w:val="006C77F8"/>
    <w:rsid w:val="006C78B4"/>
    <w:rsid w:val="006C7F25"/>
    <w:rsid w:val="006D0089"/>
    <w:rsid w:val="006D010F"/>
    <w:rsid w:val="006D064B"/>
    <w:rsid w:val="006D0715"/>
    <w:rsid w:val="006D0776"/>
    <w:rsid w:val="006D0BEE"/>
    <w:rsid w:val="006D105B"/>
    <w:rsid w:val="006D1398"/>
    <w:rsid w:val="006D148C"/>
    <w:rsid w:val="006D153E"/>
    <w:rsid w:val="006D1702"/>
    <w:rsid w:val="006D1D83"/>
    <w:rsid w:val="006D1D8F"/>
    <w:rsid w:val="006D1EBF"/>
    <w:rsid w:val="006D2002"/>
    <w:rsid w:val="006D25E2"/>
    <w:rsid w:val="006D2605"/>
    <w:rsid w:val="006D2612"/>
    <w:rsid w:val="006D2BEB"/>
    <w:rsid w:val="006D2D8F"/>
    <w:rsid w:val="006D2FD9"/>
    <w:rsid w:val="006D32C4"/>
    <w:rsid w:val="006D334B"/>
    <w:rsid w:val="006D3650"/>
    <w:rsid w:val="006D3AC3"/>
    <w:rsid w:val="006D3AE7"/>
    <w:rsid w:val="006D3B6E"/>
    <w:rsid w:val="006D3EA8"/>
    <w:rsid w:val="006D42D4"/>
    <w:rsid w:val="006D4640"/>
    <w:rsid w:val="006D480C"/>
    <w:rsid w:val="006D53A4"/>
    <w:rsid w:val="006D53F9"/>
    <w:rsid w:val="006D5CC2"/>
    <w:rsid w:val="006D6A84"/>
    <w:rsid w:val="006D6C28"/>
    <w:rsid w:val="006D7003"/>
    <w:rsid w:val="006D700E"/>
    <w:rsid w:val="006D7174"/>
    <w:rsid w:val="006D72AF"/>
    <w:rsid w:val="006D7401"/>
    <w:rsid w:val="006D741E"/>
    <w:rsid w:val="006D7813"/>
    <w:rsid w:val="006D78D3"/>
    <w:rsid w:val="006D7B63"/>
    <w:rsid w:val="006D7CB7"/>
    <w:rsid w:val="006E0076"/>
    <w:rsid w:val="006E00E4"/>
    <w:rsid w:val="006E0168"/>
    <w:rsid w:val="006E05D2"/>
    <w:rsid w:val="006E0658"/>
    <w:rsid w:val="006E071B"/>
    <w:rsid w:val="006E07B6"/>
    <w:rsid w:val="006E087A"/>
    <w:rsid w:val="006E0998"/>
    <w:rsid w:val="006E0B44"/>
    <w:rsid w:val="006E0E13"/>
    <w:rsid w:val="006E10F8"/>
    <w:rsid w:val="006E111F"/>
    <w:rsid w:val="006E1C19"/>
    <w:rsid w:val="006E1E18"/>
    <w:rsid w:val="006E21A3"/>
    <w:rsid w:val="006E2337"/>
    <w:rsid w:val="006E262D"/>
    <w:rsid w:val="006E26A2"/>
    <w:rsid w:val="006E291D"/>
    <w:rsid w:val="006E2A8F"/>
    <w:rsid w:val="006E2D9B"/>
    <w:rsid w:val="006E2E6A"/>
    <w:rsid w:val="006E2E9D"/>
    <w:rsid w:val="006E2FA2"/>
    <w:rsid w:val="006E312E"/>
    <w:rsid w:val="006E3192"/>
    <w:rsid w:val="006E332C"/>
    <w:rsid w:val="006E3610"/>
    <w:rsid w:val="006E3673"/>
    <w:rsid w:val="006E3ACA"/>
    <w:rsid w:val="006E3BB5"/>
    <w:rsid w:val="006E4069"/>
    <w:rsid w:val="006E43AF"/>
    <w:rsid w:val="006E4A44"/>
    <w:rsid w:val="006E4FFA"/>
    <w:rsid w:val="006E5050"/>
    <w:rsid w:val="006E533F"/>
    <w:rsid w:val="006E53ED"/>
    <w:rsid w:val="006E54B8"/>
    <w:rsid w:val="006E56C6"/>
    <w:rsid w:val="006E5D7D"/>
    <w:rsid w:val="006E614E"/>
    <w:rsid w:val="006E61F2"/>
    <w:rsid w:val="006E6A54"/>
    <w:rsid w:val="006E6BEA"/>
    <w:rsid w:val="006E6CDB"/>
    <w:rsid w:val="006E6D34"/>
    <w:rsid w:val="006E6F20"/>
    <w:rsid w:val="006E6FC0"/>
    <w:rsid w:val="006E70BD"/>
    <w:rsid w:val="006E7293"/>
    <w:rsid w:val="006E73C0"/>
    <w:rsid w:val="006E7496"/>
    <w:rsid w:val="006E78B5"/>
    <w:rsid w:val="006E7D32"/>
    <w:rsid w:val="006F03BB"/>
    <w:rsid w:val="006F07F2"/>
    <w:rsid w:val="006F0DC0"/>
    <w:rsid w:val="006F1522"/>
    <w:rsid w:val="006F158E"/>
    <w:rsid w:val="006F15C0"/>
    <w:rsid w:val="006F1727"/>
    <w:rsid w:val="006F1978"/>
    <w:rsid w:val="006F1F41"/>
    <w:rsid w:val="006F22D0"/>
    <w:rsid w:val="006F2C94"/>
    <w:rsid w:val="006F2DC7"/>
    <w:rsid w:val="006F2FE7"/>
    <w:rsid w:val="006F303D"/>
    <w:rsid w:val="006F316A"/>
    <w:rsid w:val="006F3172"/>
    <w:rsid w:val="006F319D"/>
    <w:rsid w:val="006F36E4"/>
    <w:rsid w:val="006F3940"/>
    <w:rsid w:val="006F3D08"/>
    <w:rsid w:val="006F4C5C"/>
    <w:rsid w:val="006F5379"/>
    <w:rsid w:val="006F5692"/>
    <w:rsid w:val="006F5B23"/>
    <w:rsid w:val="006F6121"/>
    <w:rsid w:val="006F6383"/>
    <w:rsid w:val="006F661B"/>
    <w:rsid w:val="006F66E7"/>
    <w:rsid w:val="006F6A63"/>
    <w:rsid w:val="006F6B84"/>
    <w:rsid w:val="006F6D0B"/>
    <w:rsid w:val="006F6F04"/>
    <w:rsid w:val="006F7063"/>
    <w:rsid w:val="006F7376"/>
    <w:rsid w:val="006F74F4"/>
    <w:rsid w:val="006F7990"/>
    <w:rsid w:val="006F7A18"/>
    <w:rsid w:val="006F7B64"/>
    <w:rsid w:val="006F7F69"/>
    <w:rsid w:val="007004BB"/>
    <w:rsid w:val="0070062C"/>
    <w:rsid w:val="007008E7"/>
    <w:rsid w:val="00700A2B"/>
    <w:rsid w:val="00700B35"/>
    <w:rsid w:val="00700DF2"/>
    <w:rsid w:val="00700F5D"/>
    <w:rsid w:val="007010B7"/>
    <w:rsid w:val="007011E3"/>
    <w:rsid w:val="00701522"/>
    <w:rsid w:val="00701529"/>
    <w:rsid w:val="00701C9E"/>
    <w:rsid w:val="00701D42"/>
    <w:rsid w:val="00701D73"/>
    <w:rsid w:val="00702072"/>
    <w:rsid w:val="00702458"/>
    <w:rsid w:val="00702585"/>
    <w:rsid w:val="007026CA"/>
    <w:rsid w:val="0070283C"/>
    <w:rsid w:val="00702B7A"/>
    <w:rsid w:val="00702CCD"/>
    <w:rsid w:val="00702E0F"/>
    <w:rsid w:val="00702EBB"/>
    <w:rsid w:val="0070339E"/>
    <w:rsid w:val="007034DC"/>
    <w:rsid w:val="00703C89"/>
    <w:rsid w:val="00704066"/>
    <w:rsid w:val="0070409E"/>
    <w:rsid w:val="00704207"/>
    <w:rsid w:val="0070482C"/>
    <w:rsid w:val="00704A0F"/>
    <w:rsid w:val="00704B20"/>
    <w:rsid w:val="0070512F"/>
    <w:rsid w:val="00705293"/>
    <w:rsid w:val="007057D7"/>
    <w:rsid w:val="00706AAB"/>
    <w:rsid w:val="00706BCD"/>
    <w:rsid w:val="00706DF4"/>
    <w:rsid w:val="00707048"/>
    <w:rsid w:val="007070A3"/>
    <w:rsid w:val="0070725E"/>
    <w:rsid w:val="007073C1"/>
    <w:rsid w:val="00707437"/>
    <w:rsid w:val="007077F1"/>
    <w:rsid w:val="007078F4"/>
    <w:rsid w:val="00707BB6"/>
    <w:rsid w:val="00707E19"/>
    <w:rsid w:val="007104C8"/>
    <w:rsid w:val="00710740"/>
    <w:rsid w:val="007107E5"/>
    <w:rsid w:val="007108CF"/>
    <w:rsid w:val="007110C8"/>
    <w:rsid w:val="00711663"/>
    <w:rsid w:val="00711666"/>
    <w:rsid w:val="007118C9"/>
    <w:rsid w:val="00711AF6"/>
    <w:rsid w:val="00711F19"/>
    <w:rsid w:val="0071216F"/>
    <w:rsid w:val="007121A6"/>
    <w:rsid w:val="00712343"/>
    <w:rsid w:val="00712493"/>
    <w:rsid w:val="007124A1"/>
    <w:rsid w:val="007126BD"/>
    <w:rsid w:val="00712A04"/>
    <w:rsid w:val="00712AFD"/>
    <w:rsid w:val="00712D36"/>
    <w:rsid w:val="00713131"/>
    <w:rsid w:val="00713250"/>
    <w:rsid w:val="007133D7"/>
    <w:rsid w:val="00713603"/>
    <w:rsid w:val="00713C6E"/>
    <w:rsid w:val="00713E2E"/>
    <w:rsid w:val="007143F7"/>
    <w:rsid w:val="0071458B"/>
    <w:rsid w:val="007150B1"/>
    <w:rsid w:val="0071534E"/>
    <w:rsid w:val="00715496"/>
    <w:rsid w:val="007159B6"/>
    <w:rsid w:val="00715C62"/>
    <w:rsid w:val="00715CA3"/>
    <w:rsid w:val="00715DF1"/>
    <w:rsid w:val="00716604"/>
    <w:rsid w:val="0071664A"/>
    <w:rsid w:val="0071752E"/>
    <w:rsid w:val="0071763F"/>
    <w:rsid w:val="00717B65"/>
    <w:rsid w:val="00717BDF"/>
    <w:rsid w:val="00717D69"/>
    <w:rsid w:val="00720200"/>
    <w:rsid w:val="007205FC"/>
    <w:rsid w:val="007207C1"/>
    <w:rsid w:val="00720822"/>
    <w:rsid w:val="00720CA6"/>
    <w:rsid w:val="00720E10"/>
    <w:rsid w:val="00720FBA"/>
    <w:rsid w:val="00721007"/>
    <w:rsid w:val="0072110D"/>
    <w:rsid w:val="00721123"/>
    <w:rsid w:val="00721289"/>
    <w:rsid w:val="00721313"/>
    <w:rsid w:val="00721A80"/>
    <w:rsid w:val="00721C3C"/>
    <w:rsid w:val="007222C9"/>
    <w:rsid w:val="007222E7"/>
    <w:rsid w:val="00722361"/>
    <w:rsid w:val="007224A2"/>
    <w:rsid w:val="007226FD"/>
    <w:rsid w:val="007227B5"/>
    <w:rsid w:val="00722BAF"/>
    <w:rsid w:val="00723171"/>
    <w:rsid w:val="007231C1"/>
    <w:rsid w:val="007232AD"/>
    <w:rsid w:val="0072378D"/>
    <w:rsid w:val="00723BB8"/>
    <w:rsid w:val="00723C3C"/>
    <w:rsid w:val="00723D02"/>
    <w:rsid w:val="007248C7"/>
    <w:rsid w:val="00724AB0"/>
    <w:rsid w:val="00724CD2"/>
    <w:rsid w:val="00724CD4"/>
    <w:rsid w:val="00724F3E"/>
    <w:rsid w:val="007250D2"/>
    <w:rsid w:val="007253FD"/>
    <w:rsid w:val="007254C5"/>
    <w:rsid w:val="00725622"/>
    <w:rsid w:val="007258DC"/>
    <w:rsid w:val="00725A88"/>
    <w:rsid w:val="00725C7D"/>
    <w:rsid w:val="007266D3"/>
    <w:rsid w:val="00726B5C"/>
    <w:rsid w:val="00726F41"/>
    <w:rsid w:val="00726F67"/>
    <w:rsid w:val="007270E6"/>
    <w:rsid w:val="007271DB"/>
    <w:rsid w:val="007273BE"/>
    <w:rsid w:val="007276D3"/>
    <w:rsid w:val="00727779"/>
    <w:rsid w:val="00727807"/>
    <w:rsid w:val="00727AEE"/>
    <w:rsid w:val="00727E94"/>
    <w:rsid w:val="007300EA"/>
    <w:rsid w:val="00730213"/>
    <w:rsid w:val="00730ECD"/>
    <w:rsid w:val="0073101D"/>
    <w:rsid w:val="007317AA"/>
    <w:rsid w:val="0073182F"/>
    <w:rsid w:val="00731AEE"/>
    <w:rsid w:val="00731B91"/>
    <w:rsid w:val="00731C06"/>
    <w:rsid w:val="00731CE5"/>
    <w:rsid w:val="00731DD2"/>
    <w:rsid w:val="00732014"/>
    <w:rsid w:val="00732575"/>
    <w:rsid w:val="00732D4C"/>
    <w:rsid w:val="007330D8"/>
    <w:rsid w:val="007334CF"/>
    <w:rsid w:val="007336A9"/>
    <w:rsid w:val="0073374E"/>
    <w:rsid w:val="00733CD9"/>
    <w:rsid w:val="00733D21"/>
    <w:rsid w:val="00733E23"/>
    <w:rsid w:val="00733F62"/>
    <w:rsid w:val="00733FFD"/>
    <w:rsid w:val="0073499E"/>
    <w:rsid w:val="00734B3E"/>
    <w:rsid w:val="00734D2B"/>
    <w:rsid w:val="007355C3"/>
    <w:rsid w:val="00735906"/>
    <w:rsid w:val="00735AA2"/>
    <w:rsid w:val="00735DE7"/>
    <w:rsid w:val="00736042"/>
    <w:rsid w:val="007361CD"/>
    <w:rsid w:val="007363B9"/>
    <w:rsid w:val="007365DA"/>
    <w:rsid w:val="007367B7"/>
    <w:rsid w:val="00736C68"/>
    <w:rsid w:val="00736D62"/>
    <w:rsid w:val="00736E1B"/>
    <w:rsid w:val="007376C1"/>
    <w:rsid w:val="00737929"/>
    <w:rsid w:val="007379E6"/>
    <w:rsid w:val="00737B17"/>
    <w:rsid w:val="00740264"/>
    <w:rsid w:val="007403E7"/>
    <w:rsid w:val="007404A3"/>
    <w:rsid w:val="007405FE"/>
    <w:rsid w:val="00740601"/>
    <w:rsid w:val="0074079D"/>
    <w:rsid w:val="0074084C"/>
    <w:rsid w:val="00740F4C"/>
    <w:rsid w:val="00740FB1"/>
    <w:rsid w:val="00741064"/>
    <w:rsid w:val="007412CA"/>
    <w:rsid w:val="00741B68"/>
    <w:rsid w:val="00741D1E"/>
    <w:rsid w:val="00741F86"/>
    <w:rsid w:val="0074264B"/>
    <w:rsid w:val="0074265B"/>
    <w:rsid w:val="007434E1"/>
    <w:rsid w:val="00743568"/>
    <w:rsid w:val="00743ABA"/>
    <w:rsid w:val="00743AF4"/>
    <w:rsid w:val="00743B50"/>
    <w:rsid w:val="00743C16"/>
    <w:rsid w:val="00743C1D"/>
    <w:rsid w:val="00743D62"/>
    <w:rsid w:val="00743DC0"/>
    <w:rsid w:val="00743ECF"/>
    <w:rsid w:val="00744107"/>
    <w:rsid w:val="007442FC"/>
    <w:rsid w:val="0074469B"/>
    <w:rsid w:val="00744ABC"/>
    <w:rsid w:val="00744F87"/>
    <w:rsid w:val="00745004"/>
    <w:rsid w:val="007451DE"/>
    <w:rsid w:val="0074550C"/>
    <w:rsid w:val="00745E54"/>
    <w:rsid w:val="00745F54"/>
    <w:rsid w:val="007460D1"/>
    <w:rsid w:val="007464D7"/>
    <w:rsid w:val="00746806"/>
    <w:rsid w:val="007468D3"/>
    <w:rsid w:val="00746A43"/>
    <w:rsid w:val="00746BD5"/>
    <w:rsid w:val="00746EB2"/>
    <w:rsid w:val="007470FB"/>
    <w:rsid w:val="0074755E"/>
    <w:rsid w:val="00747690"/>
    <w:rsid w:val="007478CD"/>
    <w:rsid w:val="00747EA1"/>
    <w:rsid w:val="00750061"/>
    <w:rsid w:val="007500C7"/>
    <w:rsid w:val="007502A8"/>
    <w:rsid w:val="007510C6"/>
    <w:rsid w:val="007514A8"/>
    <w:rsid w:val="00751AE3"/>
    <w:rsid w:val="00751B5E"/>
    <w:rsid w:val="00752006"/>
    <w:rsid w:val="00752740"/>
    <w:rsid w:val="00752A53"/>
    <w:rsid w:val="00752A7F"/>
    <w:rsid w:val="00752E85"/>
    <w:rsid w:val="00753092"/>
    <w:rsid w:val="007532A1"/>
    <w:rsid w:val="007536D3"/>
    <w:rsid w:val="007536F4"/>
    <w:rsid w:val="007537BD"/>
    <w:rsid w:val="00753B78"/>
    <w:rsid w:val="007540B6"/>
    <w:rsid w:val="0075453A"/>
    <w:rsid w:val="00754A17"/>
    <w:rsid w:val="00754CFE"/>
    <w:rsid w:val="00754DCE"/>
    <w:rsid w:val="00754F21"/>
    <w:rsid w:val="00754F93"/>
    <w:rsid w:val="0075512E"/>
    <w:rsid w:val="007553A1"/>
    <w:rsid w:val="007553F9"/>
    <w:rsid w:val="00755498"/>
    <w:rsid w:val="00755819"/>
    <w:rsid w:val="007559E1"/>
    <w:rsid w:val="00755D3A"/>
    <w:rsid w:val="0075637D"/>
    <w:rsid w:val="00756437"/>
    <w:rsid w:val="00756739"/>
    <w:rsid w:val="00757006"/>
    <w:rsid w:val="00757621"/>
    <w:rsid w:val="007601BE"/>
    <w:rsid w:val="00760211"/>
    <w:rsid w:val="0076050E"/>
    <w:rsid w:val="007606BB"/>
    <w:rsid w:val="0076079E"/>
    <w:rsid w:val="00760861"/>
    <w:rsid w:val="00760FD7"/>
    <w:rsid w:val="007612D9"/>
    <w:rsid w:val="0076149C"/>
    <w:rsid w:val="007619E8"/>
    <w:rsid w:val="00761D32"/>
    <w:rsid w:val="007626BA"/>
    <w:rsid w:val="007627B7"/>
    <w:rsid w:val="007628CE"/>
    <w:rsid w:val="007631D0"/>
    <w:rsid w:val="00763372"/>
    <w:rsid w:val="007633F2"/>
    <w:rsid w:val="0076359E"/>
    <w:rsid w:val="007635B9"/>
    <w:rsid w:val="00763A4E"/>
    <w:rsid w:val="00763C1B"/>
    <w:rsid w:val="00763DC0"/>
    <w:rsid w:val="00763E0F"/>
    <w:rsid w:val="0076401C"/>
    <w:rsid w:val="0076467A"/>
    <w:rsid w:val="0076474C"/>
    <w:rsid w:val="007649AB"/>
    <w:rsid w:val="00764D3C"/>
    <w:rsid w:val="00764F06"/>
    <w:rsid w:val="007659AB"/>
    <w:rsid w:val="00765B37"/>
    <w:rsid w:val="00765B9F"/>
    <w:rsid w:val="00766319"/>
    <w:rsid w:val="0076666E"/>
    <w:rsid w:val="00766701"/>
    <w:rsid w:val="00766A33"/>
    <w:rsid w:val="00766AC0"/>
    <w:rsid w:val="00766C46"/>
    <w:rsid w:val="00766FD8"/>
    <w:rsid w:val="007673F9"/>
    <w:rsid w:val="00767A34"/>
    <w:rsid w:val="00767DCD"/>
    <w:rsid w:val="00767FD1"/>
    <w:rsid w:val="007701A6"/>
    <w:rsid w:val="00770A72"/>
    <w:rsid w:val="00770E25"/>
    <w:rsid w:val="00770E6F"/>
    <w:rsid w:val="00771592"/>
    <w:rsid w:val="007715CC"/>
    <w:rsid w:val="0077196A"/>
    <w:rsid w:val="00771EE5"/>
    <w:rsid w:val="007725F8"/>
    <w:rsid w:val="00772C8E"/>
    <w:rsid w:val="00772CB6"/>
    <w:rsid w:val="00772D77"/>
    <w:rsid w:val="00772DD2"/>
    <w:rsid w:val="00772E8D"/>
    <w:rsid w:val="00773058"/>
    <w:rsid w:val="007732A3"/>
    <w:rsid w:val="00773414"/>
    <w:rsid w:val="0077350C"/>
    <w:rsid w:val="00773613"/>
    <w:rsid w:val="00773622"/>
    <w:rsid w:val="00773933"/>
    <w:rsid w:val="007739F6"/>
    <w:rsid w:val="00773B3E"/>
    <w:rsid w:val="00773D42"/>
    <w:rsid w:val="00773EB1"/>
    <w:rsid w:val="00774025"/>
    <w:rsid w:val="007744A6"/>
    <w:rsid w:val="007745B2"/>
    <w:rsid w:val="00774657"/>
    <w:rsid w:val="00774863"/>
    <w:rsid w:val="00774A29"/>
    <w:rsid w:val="00774E66"/>
    <w:rsid w:val="007750F0"/>
    <w:rsid w:val="007754A9"/>
    <w:rsid w:val="0077568F"/>
    <w:rsid w:val="00775EDD"/>
    <w:rsid w:val="00775F91"/>
    <w:rsid w:val="00776863"/>
    <w:rsid w:val="00776A95"/>
    <w:rsid w:val="00776E2E"/>
    <w:rsid w:val="007775BF"/>
    <w:rsid w:val="00777747"/>
    <w:rsid w:val="00777C37"/>
    <w:rsid w:val="00777F13"/>
    <w:rsid w:val="00777F7C"/>
    <w:rsid w:val="0078012D"/>
    <w:rsid w:val="007801B8"/>
    <w:rsid w:val="00780874"/>
    <w:rsid w:val="007808AD"/>
    <w:rsid w:val="00780BB3"/>
    <w:rsid w:val="00780D4C"/>
    <w:rsid w:val="00780E94"/>
    <w:rsid w:val="00781076"/>
    <w:rsid w:val="00781917"/>
    <w:rsid w:val="007819D2"/>
    <w:rsid w:val="00781CBD"/>
    <w:rsid w:val="00781D0D"/>
    <w:rsid w:val="00781FEA"/>
    <w:rsid w:val="00782077"/>
    <w:rsid w:val="00782298"/>
    <w:rsid w:val="007827CA"/>
    <w:rsid w:val="00782C69"/>
    <w:rsid w:val="00782EDE"/>
    <w:rsid w:val="00783962"/>
    <w:rsid w:val="00783979"/>
    <w:rsid w:val="007839BC"/>
    <w:rsid w:val="007839DC"/>
    <w:rsid w:val="00783BFE"/>
    <w:rsid w:val="00783D5F"/>
    <w:rsid w:val="00783D83"/>
    <w:rsid w:val="00783F42"/>
    <w:rsid w:val="00784427"/>
    <w:rsid w:val="00784468"/>
    <w:rsid w:val="00784483"/>
    <w:rsid w:val="00784502"/>
    <w:rsid w:val="0078492F"/>
    <w:rsid w:val="00784C62"/>
    <w:rsid w:val="00784D17"/>
    <w:rsid w:val="00784EC2"/>
    <w:rsid w:val="007851C9"/>
    <w:rsid w:val="007852C6"/>
    <w:rsid w:val="0078545D"/>
    <w:rsid w:val="00785796"/>
    <w:rsid w:val="00785943"/>
    <w:rsid w:val="007859BA"/>
    <w:rsid w:val="007859DF"/>
    <w:rsid w:val="007862C1"/>
    <w:rsid w:val="007863B2"/>
    <w:rsid w:val="007863F7"/>
    <w:rsid w:val="007863FE"/>
    <w:rsid w:val="00786709"/>
    <w:rsid w:val="00786B06"/>
    <w:rsid w:val="00786BF9"/>
    <w:rsid w:val="00786C36"/>
    <w:rsid w:val="00786EB0"/>
    <w:rsid w:val="007870AD"/>
    <w:rsid w:val="0078772D"/>
    <w:rsid w:val="007878D5"/>
    <w:rsid w:val="0078793D"/>
    <w:rsid w:val="007879C2"/>
    <w:rsid w:val="007879D4"/>
    <w:rsid w:val="00787B7F"/>
    <w:rsid w:val="00790490"/>
    <w:rsid w:val="007905BB"/>
    <w:rsid w:val="00790750"/>
    <w:rsid w:val="00790948"/>
    <w:rsid w:val="00790B63"/>
    <w:rsid w:val="00790F35"/>
    <w:rsid w:val="007911E3"/>
    <w:rsid w:val="0079138C"/>
    <w:rsid w:val="0079144C"/>
    <w:rsid w:val="007915BC"/>
    <w:rsid w:val="007918FB"/>
    <w:rsid w:val="00791D3A"/>
    <w:rsid w:val="007920F2"/>
    <w:rsid w:val="00792403"/>
    <w:rsid w:val="0079250D"/>
    <w:rsid w:val="007926F5"/>
    <w:rsid w:val="00792808"/>
    <w:rsid w:val="00792B2B"/>
    <w:rsid w:val="00792BBE"/>
    <w:rsid w:val="00792C7C"/>
    <w:rsid w:val="00792EC6"/>
    <w:rsid w:val="00792FC7"/>
    <w:rsid w:val="00793637"/>
    <w:rsid w:val="007936D7"/>
    <w:rsid w:val="00793791"/>
    <w:rsid w:val="00793A7F"/>
    <w:rsid w:val="00793C75"/>
    <w:rsid w:val="00793D81"/>
    <w:rsid w:val="007941D2"/>
    <w:rsid w:val="0079433D"/>
    <w:rsid w:val="0079475C"/>
    <w:rsid w:val="00794AA6"/>
    <w:rsid w:val="00794B21"/>
    <w:rsid w:val="00794B88"/>
    <w:rsid w:val="00794C93"/>
    <w:rsid w:val="00794CEB"/>
    <w:rsid w:val="00794E2C"/>
    <w:rsid w:val="00794F05"/>
    <w:rsid w:val="0079527A"/>
    <w:rsid w:val="0079554E"/>
    <w:rsid w:val="007958BB"/>
    <w:rsid w:val="00795A4D"/>
    <w:rsid w:val="007960E6"/>
    <w:rsid w:val="0079617B"/>
    <w:rsid w:val="007963D9"/>
    <w:rsid w:val="00796478"/>
    <w:rsid w:val="007967EE"/>
    <w:rsid w:val="00796904"/>
    <w:rsid w:val="00796AE5"/>
    <w:rsid w:val="00797084"/>
    <w:rsid w:val="007971E0"/>
    <w:rsid w:val="007975F1"/>
    <w:rsid w:val="00797735"/>
    <w:rsid w:val="00797A6A"/>
    <w:rsid w:val="00797A7D"/>
    <w:rsid w:val="00797CA1"/>
    <w:rsid w:val="00797D28"/>
    <w:rsid w:val="00797F31"/>
    <w:rsid w:val="007A0119"/>
    <w:rsid w:val="007A07F3"/>
    <w:rsid w:val="007A0A7D"/>
    <w:rsid w:val="007A151F"/>
    <w:rsid w:val="007A156A"/>
    <w:rsid w:val="007A1CB9"/>
    <w:rsid w:val="007A1F2A"/>
    <w:rsid w:val="007A23B4"/>
    <w:rsid w:val="007A246B"/>
    <w:rsid w:val="007A2568"/>
    <w:rsid w:val="007A2803"/>
    <w:rsid w:val="007A29FE"/>
    <w:rsid w:val="007A2CFB"/>
    <w:rsid w:val="007A2E75"/>
    <w:rsid w:val="007A3263"/>
    <w:rsid w:val="007A3380"/>
    <w:rsid w:val="007A33CE"/>
    <w:rsid w:val="007A35B9"/>
    <w:rsid w:val="007A3818"/>
    <w:rsid w:val="007A3CAC"/>
    <w:rsid w:val="007A3CD9"/>
    <w:rsid w:val="007A3F52"/>
    <w:rsid w:val="007A421B"/>
    <w:rsid w:val="007A45D1"/>
    <w:rsid w:val="007A498A"/>
    <w:rsid w:val="007A49FD"/>
    <w:rsid w:val="007A4AF2"/>
    <w:rsid w:val="007A4BFD"/>
    <w:rsid w:val="007A4E41"/>
    <w:rsid w:val="007A4E61"/>
    <w:rsid w:val="007A5FE2"/>
    <w:rsid w:val="007A609A"/>
    <w:rsid w:val="007A625E"/>
    <w:rsid w:val="007A6354"/>
    <w:rsid w:val="007A67A7"/>
    <w:rsid w:val="007A6A2E"/>
    <w:rsid w:val="007A6E3B"/>
    <w:rsid w:val="007A75DB"/>
    <w:rsid w:val="007A7BCA"/>
    <w:rsid w:val="007A7E2A"/>
    <w:rsid w:val="007B0EC2"/>
    <w:rsid w:val="007B1124"/>
    <w:rsid w:val="007B1625"/>
    <w:rsid w:val="007B1745"/>
    <w:rsid w:val="007B1804"/>
    <w:rsid w:val="007B18A8"/>
    <w:rsid w:val="007B18D1"/>
    <w:rsid w:val="007B1A5E"/>
    <w:rsid w:val="007B1C01"/>
    <w:rsid w:val="007B1E92"/>
    <w:rsid w:val="007B1F3B"/>
    <w:rsid w:val="007B1F54"/>
    <w:rsid w:val="007B22E9"/>
    <w:rsid w:val="007B2599"/>
    <w:rsid w:val="007B27D2"/>
    <w:rsid w:val="007B2DCF"/>
    <w:rsid w:val="007B30CF"/>
    <w:rsid w:val="007B3419"/>
    <w:rsid w:val="007B350B"/>
    <w:rsid w:val="007B3513"/>
    <w:rsid w:val="007B3753"/>
    <w:rsid w:val="007B3A7D"/>
    <w:rsid w:val="007B3EE3"/>
    <w:rsid w:val="007B4252"/>
    <w:rsid w:val="007B4446"/>
    <w:rsid w:val="007B4A1C"/>
    <w:rsid w:val="007B4ACB"/>
    <w:rsid w:val="007B54F8"/>
    <w:rsid w:val="007B5717"/>
    <w:rsid w:val="007B5BEE"/>
    <w:rsid w:val="007B606C"/>
    <w:rsid w:val="007B6424"/>
    <w:rsid w:val="007B6865"/>
    <w:rsid w:val="007B69E9"/>
    <w:rsid w:val="007B6A38"/>
    <w:rsid w:val="007B6BA0"/>
    <w:rsid w:val="007B6D99"/>
    <w:rsid w:val="007B75BF"/>
    <w:rsid w:val="007B75DC"/>
    <w:rsid w:val="007B78DD"/>
    <w:rsid w:val="007B7CC4"/>
    <w:rsid w:val="007B7D17"/>
    <w:rsid w:val="007C009B"/>
    <w:rsid w:val="007C01C0"/>
    <w:rsid w:val="007C042F"/>
    <w:rsid w:val="007C0AB9"/>
    <w:rsid w:val="007C1130"/>
    <w:rsid w:val="007C1250"/>
    <w:rsid w:val="007C13D1"/>
    <w:rsid w:val="007C1AFD"/>
    <w:rsid w:val="007C1B0F"/>
    <w:rsid w:val="007C1E85"/>
    <w:rsid w:val="007C1F93"/>
    <w:rsid w:val="007C2645"/>
    <w:rsid w:val="007C2D88"/>
    <w:rsid w:val="007C2DCF"/>
    <w:rsid w:val="007C2ECA"/>
    <w:rsid w:val="007C3260"/>
    <w:rsid w:val="007C347B"/>
    <w:rsid w:val="007C3679"/>
    <w:rsid w:val="007C39FD"/>
    <w:rsid w:val="007C39FF"/>
    <w:rsid w:val="007C3C97"/>
    <w:rsid w:val="007C3CB8"/>
    <w:rsid w:val="007C3F22"/>
    <w:rsid w:val="007C4020"/>
    <w:rsid w:val="007C438A"/>
    <w:rsid w:val="007C46A4"/>
    <w:rsid w:val="007C492A"/>
    <w:rsid w:val="007C4A05"/>
    <w:rsid w:val="007C4F7C"/>
    <w:rsid w:val="007C50DB"/>
    <w:rsid w:val="007C566D"/>
    <w:rsid w:val="007C56A2"/>
    <w:rsid w:val="007C5A6C"/>
    <w:rsid w:val="007C5A8F"/>
    <w:rsid w:val="007C5EAA"/>
    <w:rsid w:val="007C617D"/>
    <w:rsid w:val="007C6232"/>
    <w:rsid w:val="007C6458"/>
    <w:rsid w:val="007C64D3"/>
    <w:rsid w:val="007C6B8C"/>
    <w:rsid w:val="007C6E29"/>
    <w:rsid w:val="007C6F19"/>
    <w:rsid w:val="007C7138"/>
    <w:rsid w:val="007C73AF"/>
    <w:rsid w:val="007C7960"/>
    <w:rsid w:val="007C7A9A"/>
    <w:rsid w:val="007C7EC9"/>
    <w:rsid w:val="007C7F3B"/>
    <w:rsid w:val="007D004A"/>
    <w:rsid w:val="007D0567"/>
    <w:rsid w:val="007D08D5"/>
    <w:rsid w:val="007D08FE"/>
    <w:rsid w:val="007D09B0"/>
    <w:rsid w:val="007D0D0B"/>
    <w:rsid w:val="007D0DA0"/>
    <w:rsid w:val="007D138C"/>
    <w:rsid w:val="007D14DB"/>
    <w:rsid w:val="007D155D"/>
    <w:rsid w:val="007D1B4D"/>
    <w:rsid w:val="007D209F"/>
    <w:rsid w:val="007D2230"/>
    <w:rsid w:val="007D23CE"/>
    <w:rsid w:val="007D2832"/>
    <w:rsid w:val="007D2A21"/>
    <w:rsid w:val="007D2F0C"/>
    <w:rsid w:val="007D3060"/>
    <w:rsid w:val="007D309D"/>
    <w:rsid w:val="007D3217"/>
    <w:rsid w:val="007D32EC"/>
    <w:rsid w:val="007D33BC"/>
    <w:rsid w:val="007D35F7"/>
    <w:rsid w:val="007D372D"/>
    <w:rsid w:val="007D3D55"/>
    <w:rsid w:val="007D3EF6"/>
    <w:rsid w:val="007D3F1C"/>
    <w:rsid w:val="007D40C1"/>
    <w:rsid w:val="007D435A"/>
    <w:rsid w:val="007D4728"/>
    <w:rsid w:val="007D48D6"/>
    <w:rsid w:val="007D59E0"/>
    <w:rsid w:val="007D5AA9"/>
    <w:rsid w:val="007D6EB6"/>
    <w:rsid w:val="007D6F4A"/>
    <w:rsid w:val="007D7A76"/>
    <w:rsid w:val="007D7F4D"/>
    <w:rsid w:val="007E0003"/>
    <w:rsid w:val="007E00AF"/>
    <w:rsid w:val="007E0C08"/>
    <w:rsid w:val="007E0CDF"/>
    <w:rsid w:val="007E0EB1"/>
    <w:rsid w:val="007E1593"/>
    <w:rsid w:val="007E16E3"/>
    <w:rsid w:val="007E1A35"/>
    <w:rsid w:val="007E1CC1"/>
    <w:rsid w:val="007E1EDB"/>
    <w:rsid w:val="007E2354"/>
    <w:rsid w:val="007E27F5"/>
    <w:rsid w:val="007E2B63"/>
    <w:rsid w:val="007E2F55"/>
    <w:rsid w:val="007E30CF"/>
    <w:rsid w:val="007E3122"/>
    <w:rsid w:val="007E331B"/>
    <w:rsid w:val="007E374D"/>
    <w:rsid w:val="007E3867"/>
    <w:rsid w:val="007E38F6"/>
    <w:rsid w:val="007E3965"/>
    <w:rsid w:val="007E3A1D"/>
    <w:rsid w:val="007E3BA2"/>
    <w:rsid w:val="007E3D04"/>
    <w:rsid w:val="007E3E91"/>
    <w:rsid w:val="007E41E8"/>
    <w:rsid w:val="007E5205"/>
    <w:rsid w:val="007E58D6"/>
    <w:rsid w:val="007E5D52"/>
    <w:rsid w:val="007E6544"/>
    <w:rsid w:val="007E6AF3"/>
    <w:rsid w:val="007E6DE6"/>
    <w:rsid w:val="007E76AB"/>
    <w:rsid w:val="007E76C3"/>
    <w:rsid w:val="007E7B24"/>
    <w:rsid w:val="007E7EA5"/>
    <w:rsid w:val="007E7EBE"/>
    <w:rsid w:val="007E7F83"/>
    <w:rsid w:val="007F0378"/>
    <w:rsid w:val="007F0529"/>
    <w:rsid w:val="007F071E"/>
    <w:rsid w:val="007F09C7"/>
    <w:rsid w:val="007F0B27"/>
    <w:rsid w:val="007F0FF4"/>
    <w:rsid w:val="007F10D1"/>
    <w:rsid w:val="007F167A"/>
    <w:rsid w:val="007F1BA5"/>
    <w:rsid w:val="007F1BBA"/>
    <w:rsid w:val="007F1E96"/>
    <w:rsid w:val="007F2438"/>
    <w:rsid w:val="007F2BA3"/>
    <w:rsid w:val="007F2DB6"/>
    <w:rsid w:val="007F2DFB"/>
    <w:rsid w:val="007F2FC7"/>
    <w:rsid w:val="007F3477"/>
    <w:rsid w:val="007F369D"/>
    <w:rsid w:val="007F3754"/>
    <w:rsid w:val="007F388A"/>
    <w:rsid w:val="007F3A26"/>
    <w:rsid w:val="007F3B4E"/>
    <w:rsid w:val="007F3E78"/>
    <w:rsid w:val="007F4636"/>
    <w:rsid w:val="007F47B9"/>
    <w:rsid w:val="007F4C08"/>
    <w:rsid w:val="007F4EEE"/>
    <w:rsid w:val="007F5349"/>
    <w:rsid w:val="007F572E"/>
    <w:rsid w:val="007F59C3"/>
    <w:rsid w:val="007F59F9"/>
    <w:rsid w:val="007F5B54"/>
    <w:rsid w:val="007F5C3C"/>
    <w:rsid w:val="007F5F36"/>
    <w:rsid w:val="007F662B"/>
    <w:rsid w:val="007F666B"/>
    <w:rsid w:val="007F6A0F"/>
    <w:rsid w:val="007F7438"/>
    <w:rsid w:val="007F743D"/>
    <w:rsid w:val="007F772F"/>
    <w:rsid w:val="007F7AF0"/>
    <w:rsid w:val="007F7C12"/>
    <w:rsid w:val="007F7DB4"/>
    <w:rsid w:val="007F7E4C"/>
    <w:rsid w:val="007F7F89"/>
    <w:rsid w:val="00800001"/>
    <w:rsid w:val="00800250"/>
    <w:rsid w:val="00800366"/>
    <w:rsid w:val="00800424"/>
    <w:rsid w:val="008005C9"/>
    <w:rsid w:val="0080060A"/>
    <w:rsid w:val="00800EE9"/>
    <w:rsid w:val="008011E8"/>
    <w:rsid w:val="0080135D"/>
    <w:rsid w:val="00801898"/>
    <w:rsid w:val="00801BC7"/>
    <w:rsid w:val="00801D68"/>
    <w:rsid w:val="00801FFB"/>
    <w:rsid w:val="008020F3"/>
    <w:rsid w:val="00802191"/>
    <w:rsid w:val="00802C5B"/>
    <w:rsid w:val="00803AFB"/>
    <w:rsid w:val="00803F53"/>
    <w:rsid w:val="008040E2"/>
    <w:rsid w:val="00804A07"/>
    <w:rsid w:val="00804A92"/>
    <w:rsid w:val="00804D61"/>
    <w:rsid w:val="00804E3A"/>
    <w:rsid w:val="008050C7"/>
    <w:rsid w:val="00805124"/>
    <w:rsid w:val="00805209"/>
    <w:rsid w:val="00805680"/>
    <w:rsid w:val="0080573D"/>
    <w:rsid w:val="0080581B"/>
    <w:rsid w:val="00805963"/>
    <w:rsid w:val="00805D7C"/>
    <w:rsid w:val="00805E6B"/>
    <w:rsid w:val="00805F53"/>
    <w:rsid w:val="008064BC"/>
    <w:rsid w:val="008064D2"/>
    <w:rsid w:val="0080678B"/>
    <w:rsid w:val="00806EA6"/>
    <w:rsid w:val="00806F74"/>
    <w:rsid w:val="008070F0"/>
    <w:rsid w:val="00807324"/>
    <w:rsid w:val="0080765F"/>
    <w:rsid w:val="008078A0"/>
    <w:rsid w:val="00807937"/>
    <w:rsid w:val="00807ADA"/>
    <w:rsid w:val="00807CA7"/>
    <w:rsid w:val="00807D5E"/>
    <w:rsid w:val="00807FB2"/>
    <w:rsid w:val="00810ADD"/>
    <w:rsid w:val="00810C3D"/>
    <w:rsid w:val="00810F15"/>
    <w:rsid w:val="008111BB"/>
    <w:rsid w:val="008112D6"/>
    <w:rsid w:val="0081153A"/>
    <w:rsid w:val="0081160C"/>
    <w:rsid w:val="00812B65"/>
    <w:rsid w:val="00812BAF"/>
    <w:rsid w:val="00812D10"/>
    <w:rsid w:val="0081313A"/>
    <w:rsid w:val="00813255"/>
    <w:rsid w:val="008132D2"/>
    <w:rsid w:val="00813B78"/>
    <w:rsid w:val="00813DEF"/>
    <w:rsid w:val="00813E3B"/>
    <w:rsid w:val="008140C7"/>
    <w:rsid w:val="00814205"/>
    <w:rsid w:val="008146F5"/>
    <w:rsid w:val="00814A5F"/>
    <w:rsid w:val="00814ABA"/>
    <w:rsid w:val="00814E8E"/>
    <w:rsid w:val="00815022"/>
    <w:rsid w:val="008156E4"/>
    <w:rsid w:val="00815937"/>
    <w:rsid w:val="0081595A"/>
    <w:rsid w:val="00815BA7"/>
    <w:rsid w:val="00815D09"/>
    <w:rsid w:val="00815DA6"/>
    <w:rsid w:val="00815DE7"/>
    <w:rsid w:val="00815F09"/>
    <w:rsid w:val="00816581"/>
    <w:rsid w:val="00816676"/>
    <w:rsid w:val="00816A28"/>
    <w:rsid w:val="00816A7E"/>
    <w:rsid w:val="00816A8B"/>
    <w:rsid w:val="00816E76"/>
    <w:rsid w:val="008170FE"/>
    <w:rsid w:val="00817979"/>
    <w:rsid w:val="00817AD7"/>
    <w:rsid w:val="00817CD6"/>
    <w:rsid w:val="00817FAF"/>
    <w:rsid w:val="00820039"/>
    <w:rsid w:val="0082011F"/>
    <w:rsid w:val="0082020B"/>
    <w:rsid w:val="008202A8"/>
    <w:rsid w:val="00820384"/>
    <w:rsid w:val="008204CA"/>
    <w:rsid w:val="00820783"/>
    <w:rsid w:val="00820EE7"/>
    <w:rsid w:val="0082116A"/>
    <w:rsid w:val="008211C9"/>
    <w:rsid w:val="008217B9"/>
    <w:rsid w:val="0082208E"/>
    <w:rsid w:val="008220B7"/>
    <w:rsid w:val="008220E3"/>
    <w:rsid w:val="00822334"/>
    <w:rsid w:val="00822719"/>
    <w:rsid w:val="00822786"/>
    <w:rsid w:val="00822802"/>
    <w:rsid w:val="00822DDC"/>
    <w:rsid w:val="00823359"/>
    <w:rsid w:val="008234F4"/>
    <w:rsid w:val="00823644"/>
    <w:rsid w:val="008237D8"/>
    <w:rsid w:val="0082416C"/>
    <w:rsid w:val="00824320"/>
    <w:rsid w:val="00824702"/>
    <w:rsid w:val="00824CC1"/>
    <w:rsid w:val="00824E27"/>
    <w:rsid w:val="00825014"/>
    <w:rsid w:val="008251E4"/>
    <w:rsid w:val="00825257"/>
    <w:rsid w:val="008253D8"/>
    <w:rsid w:val="00825727"/>
    <w:rsid w:val="0082576A"/>
    <w:rsid w:val="008257A8"/>
    <w:rsid w:val="00825B63"/>
    <w:rsid w:val="00826084"/>
    <w:rsid w:val="00826122"/>
    <w:rsid w:val="008264DD"/>
    <w:rsid w:val="008269CA"/>
    <w:rsid w:val="0082711F"/>
    <w:rsid w:val="00827271"/>
    <w:rsid w:val="008274A7"/>
    <w:rsid w:val="00827553"/>
    <w:rsid w:val="00827D6B"/>
    <w:rsid w:val="00827DCF"/>
    <w:rsid w:val="00827F2D"/>
    <w:rsid w:val="00827F8E"/>
    <w:rsid w:val="008306FD"/>
    <w:rsid w:val="00830B23"/>
    <w:rsid w:val="0083114E"/>
    <w:rsid w:val="00831287"/>
    <w:rsid w:val="008313FE"/>
    <w:rsid w:val="00831C21"/>
    <w:rsid w:val="00832219"/>
    <w:rsid w:val="0083309E"/>
    <w:rsid w:val="0083327F"/>
    <w:rsid w:val="0083368A"/>
    <w:rsid w:val="0083371D"/>
    <w:rsid w:val="00833905"/>
    <w:rsid w:val="00833A9B"/>
    <w:rsid w:val="00833ABF"/>
    <w:rsid w:val="00833B44"/>
    <w:rsid w:val="00833CC7"/>
    <w:rsid w:val="0083405A"/>
    <w:rsid w:val="008340DD"/>
    <w:rsid w:val="0083410A"/>
    <w:rsid w:val="008342CE"/>
    <w:rsid w:val="00834349"/>
    <w:rsid w:val="008343A0"/>
    <w:rsid w:val="0083446E"/>
    <w:rsid w:val="008346CE"/>
    <w:rsid w:val="0083473B"/>
    <w:rsid w:val="00834C43"/>
    <w:rsid w:val="00834D3E"/>
    <w:rsid w:val="00834E9A"/>
    <w:rsid w:val="00835492"/>
    <w:rsid w:val="008356B7"/>
    <w:rsid w:val="00835797"/>
    <w:rsid w:val="008357FF"/>
    <w:rsid w:val="008359B7"/>
    <w:rsid w:val="00835AB4"/>
    <w:rsid w:val="00835AD6"/>
    <w:rsid w:val="00835D5F"/>
    <w:rsid w:val="008361B2"/>
    <w:rsid w:val="008363A5"/>
    <w:rsid w:val="00836C8D"/>
    <w:rsid w:val="008370E1"/>
    <w:rsid w:val="0083734F"/>
    <w:rsid w:val="00837547"/>
    <w:rsid w:val="0083769F"/>
    <w:rsid w:val="00837B38"/>
    <w:rsid w:val="00837E5A"/>
    <w:rsid w:val="008404E8"/>
    <w:rsid w:val="00840748"/>
    <w:rsid w:val="00840CF4"/>
    <w:rsid w:val="008410E5"/>
    <w:rsid w:val="00841118"/>
    <w:rsid w:val="00841168"/>
    <w:rsid w:val="0084142A"/>
    <w:rsid w:val="008419E2"/>
    <w:rsid w:val="00841EE9"/>
    <w:rsid w:val="00841F5D"/>
    <w:rsid w:val="00842270"/>
    <w:rsid w:val="00842AF9"/>
    <w:rsid w:val="00842F2C"/>
    <w:rsid w:val="008433DC"/>
    <w:rsid w:val="008433DF"/>
    <w:rsid w:val="008435BF"/>
    <w:rsid w:val="00843985"/>
    <w:rsid w:val="00843AB3"/>
    <w:rsid w:val="00843B73"/>
    <w:rsid w:val="00843F43"/>
    <w:rsid w:val="0084446E"/>
    <w:rsid w:val="00844710"/>
    <w:rsid w:val="0084475E"/>
    <w:rsid w:val="0084481C"/>
    <w:rsid w:val="00844EFE"/>
    <w:rsid w:val="008450F0"/>
    <w:rsid w:val="008452A5"/>
    <w:rsid w:val="0084545B"/>
    <w:rsid w:val="008454BE"/>
    <w:rsid w:val="00845D26"/>
    <w:rsid w:val="008460C5"/>
    <w:rsid w:val="008461A9"/>
    <w:rsid w:val="00846558"/>
    <w:rsid w:val="00846675"/>
    <w:rsid w:val="0084699E"/>
    <w:rsid w:val="00846CC0"/>
    <w:rsid w:val="00846D2E"/>
    <w:rsid w:val="008470A8"/>
    <w:rsid w:val="008471BD"/>
    <w:rsid w:val="008475AC"/>
    <w:rsid w:val="00847728"/>
    <w:rsid w:val="00847AAC"/>
    <w:rsid w:val="00847C48"/>
    <w:rsid w:val="00847E7B"/>
    <w:rsid w:val="00850199"/>
    <w:rsid w:val="0085080D"/>
    <w:rsid w:val="00850AE6"/>
    <w:rsid w:val="00850BBD"/>
    <w:rsid w:val="00850DF0"/>
    <w:rsid w:val="0085103F"/>
    <w:rsid w:val="0085126C"/>
    <w:rsid w:val="00851388"/>
    <w:rsid w:val="008515AE"/>
    <w:rsid w:val="008517B9"/>
    <w:rsid w:val="00851857"/>
    <w:rsid w:val="0085205E"/>
    <w:rsid w:val="008520D0"/>
    <w:rsid w:val="00852582"/>
    <w:rsid w:val="00852594"/>
    <w:rsid w:val="0085288A"/>
    <w:rsid w:val="00852BE7"/>
    <w:rsid w:val="008534C0"/>
    <w:rsid w:val="0085368C"/>
    <w:rsid w:val="00853DD8"/>
    <w:rsid w:val="00853F92"/>
    <w:rsid w:val="0085405E"/>
    <w:rsid w:val="00854228"/>
    <w:rsid w:val="00854571"/>
    <w:rsid w:val="00854AD9"/>
    <w:rsid w:val="00854AF3"/>
    <w:rsid w:val="008558D1"/>
    <w:rsid w:val="00855D7A"/>
    <w:rsid w:val="00855DC3"/>
    <w:rsid w:val="00856147"/>
    <w:rsid w:val="008562A5"/>
    <w:rsid w:val="00856302"/>
    <w:rsid w:val="008565E2"/>
    <w:rsid w:val="00856ACE"/>
    <w:rsid w:val="00857082"/>
    <w:rsid w:val="00857A74"/>
    <w:rsid w:val="00857E07"/>
    <w:rsid w:val="0086039B"/>
    <w:rsid w:val="008603B1"/>
    <w:rsid w:val="008607E2"/>
    <w:rsid w:val="008608B4"/>
    <w:rsid w:val="0086103B"/>
    <w:rsid w:val="0086118F"/>
    <w:rsid w:val="008613FC"/>
    <w:rsid w:val="00861843"/>
    <w:rsid w:val="00862082"/>
    <w:rsid w:val="008620BA"/>
    <w:rsid w:val="008629D8"/>
    <w:rsid w:val="008629EF"/>
    <w:rsid w:val="00862F33"/>
    <w:rsid w:val="00862F8F"/>
    <w:rsid w:val="008630A4"/>
    <w:rsid w:val="00863362"/>
    <w:rsid w:val="00863695"/>
    <w:rsid w:val="008636CA"/>
    <w:rsid w:val="0086396C"/>
    <w:rsid w:val="00863A13"/>
    <w:rsid w:val="00863F30"/>
    <w:rsid w:val="0086449D"/>
    <w:rsid w:val="00864B57"/>
    <w:rsid w:val="008652B7"/>
    <w:rsid w:val="008653DA"/>
    <w:rsid w:val="00865416"/>
    <w:rsid w:val="00865629"/>
    <w:rsid w:val="00865673"/>
    <w:rsid w:val="008659EF"/>
    <w:rsid w:val="00865C74"/>
    <w:rsid w:val="00866223"/>
    <w:rsid w:val="00866448"/>
    <w:rsid w:val="008666C8"/>
    <w:rsid w:val="0086687B"/>
    <w:rsid w:val="00866ACE"/>
    <w:rsid w:val="00866C8B"/>
    <w:rsid w:val="00866E6A"/>
    <w:rsid w:val="0086705D"/>
    <w:rsid w:val="00867499"/>
    <w:rsid w:val="00867609"/>
    <w:rsid w:val="00867811"/>
    <w:rsid w:val="00867883"/>
    <w:rsid w:val="008679AA"/>
    <w:rsid w:val="00867A71"/>
    <w:rsid w:val="00867B91"/>
    <w:rsid w:val="00867DD8"/>
    <w:rsid w:val="00867F71"/>
    <w:rsid w:val="008700B9"/>
    <w:rsid w:val="0087022F"/>
    <w:rsid w:val="008703E2"/>
    <w:rsid w:val="00870477"/>
    <w:rsid w:val="00870553"/>
    <w:rsid w:val="008709F3"/>
    <w:rsid w:val="00870F08"/>
    <w:rsid w:val="00871208"/>
    <w:rsid w:val="0087122A"/>
    <w:rsid w:val="008717B4"/>
    <w:rsid w:val="00871F93"/>
    <w:rsid w:val="00872273"/>
    <w:rsid w:val="008727FC"/>
    <w:rsid w:val="0087298A"/>
    <w:rsid w:val="00872C93"/>
    <w:rsid w:val="00873628"/>
    <w:rsid w:val="00873E9F"/>
    <w:rsid w:val="00873FFF"/>
    <w:rsid w:val="00874049"/>
    <w:rsid w:val="00874481"/>
    <w:rsid w:val="00874610"/>
    <w:rsid w:val="00874708"/>
    <w:rsid w:val="00874812"/>
    <w:rsid w:val="00874956"/>
    <w:rsid w:val="00874A59"/>
    <w:rsid w:val="00874AA3"/>
    <w:rsid w:val="00874B47"/>
    <w:rsid w:val="00874CBC"/>
    <w:rsid w:val="00874CEB"/>
    <w:rsid w:val="00875312"/>
    <w:rsid w:val="00875424"/>
    <w:rsid w:val="00875ED8"/>
    <w:rsid w:val="008762B2"/>
    <w:rsid w:val="0087631B"/>
    <w:rsid w:val="00876739"/>
    <w:rsid w:val="008767F6"/>
    <w:rsid w:val="00876AA6"/>
    <w:rsid w:val="00876E30"/>
    <w:rsid w:val="00876F8C"/>
    <w:rsid w:val="008773A9"/>
    <w:rsid w:val="008773BF"/>
    <w:rsid w:val="00877827"/>
    <w:rsid w:val="00877B0A"/>
    <w:rsid w:val="00877D07"/>
    <w:rsid w:val="0088049F"/>
    <w:rsid w:val="00880639"/>
    <w:rsid w:val="008806CE"/>
    <w:rsid w:val="008808AF"/>
    <w:rsid w:val="00880933"/>
    <w:rsid w:val="00880BB6"/>
    <w:rsid w:val="00880BF3"/>
    <w:rsid w:val="00880EAA"/>
    <w:rsid w:val="00881063"/>
    <w:rsid w:val="008810CA"/>
    <w:rsid w:val="008814DB"/>
    <w:rsid w:val="008828E3"/>
    <w:rsid w:val="008829B0"/>
    <w:rsid w:val="00882B25"/>
    <w:rsid w:val="00882B7A"/>
    <w:rsid w:val="00883464"/>
    <w:rsid w:val="00883830"/>
    <w:rsid w:val="00884051"/>
    <w:rsid w:val="00884138"/>
    <w:rsid w:val="00884776"/>
    <w:rsid w:val="00884913"/>
    <w:rsid w:val="00884A99"/>
    <w:rsid w:val="00884B47"/>
    <w:rsid w:val="00884BF9"/>
    <w:rsid w:val="00884CF0"/>
    <w:rsid w:val="008853F9"/>
    <w:rsid w:val="00885476"/>
    <w:rsid w:val="00885A4D"/>
    <w:rsid w:val="00885B90"/>
    <w:rsid w:val="008861C2"/>
    <w:rsid w:val="008862D1"/>
    <w:rsid w:val="0088646F"/>
    <w:rsid w:val="0088687E"/>
    <w:rsid w:val="008872E7"/>
    <w:rsid w:val="0088765E"/>
    <w:rsid w:val="008878D9"/>
    <w:rsid w:val="00887E18"/>
    <w:rsid w:val="008907E9"/>
    <w:rsid w:val="008909E2"/>
    <w:rsid w:val="00890B15"/>
    <w:rsid w:val="0089139F"/>
    <w:rsid w:val="008914A1"/>
    <w:rsid w:val="008916A9"/>
    <w:rsid w:val="00891A08"/>
    <w:rsid w:val="00891BC6"/>
    <w:rsid w:val="00891CBB"/>
    <w:rsid w:val="00891D9E"/>
    <w:rsid w:val="00891EEF"/>
    <w:rsid w:val="008921CE"/>
    <w:rsid w:val="008921D9"/>
    <w:rsid w:val="008922A4"/>
    <w:rsid w:val="008929AA"/>
    <w:rsid w:val="00892B71"/>
    <w:rsid w:val="00893924"/>
    <w:rsid w:val="00893BD2"/>
    <w:rsid w:val="00893C5F"/>
    <w:rsid w:val="00893C84"/>
    <w:rsid w:val="00894658"/>
    <w:rsid w:val="008948B9"/>
    <w:rsid w:val="00894A03"/>
    <w:rsid w:val="00894B06"/>
    <w:rsid w:val="00894B1F"/>
    <w:rsid w:val="00894BCB"/>
    <w:rsid w:val="00894C51"/>
    <w:rsid w:val="00894D9D"/>
    <w:rsid w:val="00894EA9"/>
    <w:rsid w:val="00895237"/>
    <w:rsid w:val="008953BB"/>
    <w:rsid w:val="00895478"/>
    <w:rsid w:val="00895806"/>
    <w:rsid w:val="00895FD5"/>
    <w:rsid w:val="008962B7"/>
    <w:rsid w:val="008967BF"/>
    <w:rsid w:val="00896AC8"/>
    <w:rsid w:val="008971E1"/>
    <w:rsid w:val="0089734F"/>
    <w:rsid w:val="00897413"/>
    <w:rsid w:val="008978C7"/>
    <w:rsid w:val="00897B7B"/>
    <w:rsid w:val="00897E97"/>
    <w:rsid w:val="008A0135"/>
    <w:rsid w:val="008A01B1"/>
    <w:rsid w:val="008A0AE6"/>
    <w:rsid w:val="008A11C6"/>
    <w:rsid w:val="008A122E"/>
    <w:rsid w:val="008A1360"/>
    <w:rsid w:val="008A1488"/>
    <w:rsid w:val="008A16A3"/>
    <w:rsid w:val="008A1B59"/>
    <w:rsid w:val="008A2166"/>
    <w:rsid w:val="008A2394"/>
    <w:rsid w:val="008A23B0"/>
    <w:rsid w:val="008A2623"/>
    <w:rsid w:val="008A2760"/>
    <w:rsid w:val="008A2CBF"/>
    <w:rsid w:val="008A34BC"/>
    <w:rsid w:val="008A3BEB"/>
    <w:rsid w:val="008A3D76"/>
    <w:rsid w:val="008A3EF9"/>
    <w:rsid w:val="008A3F8D"/>
    <w:rsid w:val="008A4054"/>
    <w:rsid w:val="008A40C9"/>
    <w:rsid w:val="008A4563"/>
    <w:rsid w:val="008A49F6"/>
    <w:rsid w:val="008A4BD3"/>
    <w:rsid w:val="008A4C7E"/>
    <w:rsid w:val="008A4E0A"/>
    <w:rsid w:val="008A4E90"/>
    <w:rsid w:val="008A4ECA"/>
    <w:rsid w:val="008A4F8E"/>
    <w:rsid w:val="008A506E"/>
    <w:rsid w:val="008A5295"/>
    <w:rsid w:val="008A5743"/>
    <w:rsid w:val="008A590C"/>
    <w:rsid w:val="008A5953"/>
    <w:rsid w:val="008A5A26"/>
    <w:rsid w:val="008A5D4A"/>
    <w:rsid w:val="008A5DC0"/>
    <w:rsid w:val="008A6024"/>
    <w:rsid w:val="008A6748"/>
    <w:rsid w:val="008A69A9"/>
    <w:rsid w:val="008A6A43"/>
    <w:rsid w:val="008A6C1E"/>
    <w:rsid w:val="008A6D0D"/>
    <w:rsid w:val="008A6E28"/>
    <w:rsid w:val="008A709F"/>
    <w:rsid w:val="008A731D"/>
    <w:rsid w:val="008A7468"/>
    <w:rsid w:val="008A7653"/>
    <w:rsid w:val="008A770F"/>
    <w:rsid w:val="008A7C8C"/>
    <w:rsid w:val="008A7FBB"/>
    <w:rsid w:val="008B00B5"/>
    <w:rsid w:val="008B0399"/>
    <w:rsid w:val="008B04FB"/>
    <w:rsid w:val="008B062A"/>
    <w:rsid w:val="008B0724"/>
    <w:rsid w:val="008B1436"/>
    <w:rsid w:val="008B145A"/>
    <w:rsid w:val="008B158B"/>
    <w:rsid w:val="008B1843"/>
    <w:rsid w:val="008B1ADC"/>
    <w:rsid w:val="008B1C18"/>
    <w:rsid w:val="008B1CE6"/>
    <w:rsid w:val="008B1E94"/>
    <w:rsid w:val="008B1F62"/>
    <w:rsid w:val="008B2AE3"/>
    <w:rsid w:val="008B2ED1"/>
    <w:rsid w:val="008B2EFD"/>
    <w:rsid w:val="008B311C"/>
    <w:rsid w:val="008B3173"/>
    <w:rsid w:val="008B3422"/>
    <w:rsid w:val="008B3496"/>
    <w:rsid w:val="008B3853"/>
    <w:rsid w:val="008B455E"/>
    <w:rsid w:val="008B4C41"/>
    <w:rsid w:val="008B5009"/>
    <w:rsid w:val="008B5246"/>
    <w:rsid w:val="008B52C4"/>
    <w:rsid w:val="008B584D"/>
    <w:rsid w:val="008B5BA8"/>
    <w:rsid w:val="008B5C0B"/>
    <w:rsid w:val="008B5C80"/>
    <w:rsid w:val="008B5CED"/>
    <w:rsid w:val="008B5D8F"/>
    <w:rsid w:val="008B606C"/>
    <w:rsid w:val="008B6663"/>
    <w:rsid w:val="008B6FDB"/>
    <w:rsid w:val="008B7132"/>
    <w:rsid w:val="008B7211"/>
    <w:rsid w:val="008B73C4"/>
    <w:rsid w:val="008B7449"/>
    <w:rsid w:val="008B7664"/>
    <w:rsid w:val="008B77AA"/>
    <w:rsid w:val="008B77ED"/>
    <w:rsid w:val="008C0365"/>
    <w:rsid w:val="008C0C36"/>
    <w:rsid w:val="008C0C5F"/>
    <w:rsid w:val="008C0D34"/>
    <w:rsid w:val="008C127F"/>
    <w:rsid w:val="008C189B"/>
    <w:rsid w:val="008C1914"/>
    <w:rsid w:val="008C1979"/>
    <w:rsid w:val="008C1982"/>
    <w:rsid w:val="008C2180"/>
    <w:rsid w:val="008C24A0"/>
    <w:rsid w:val="008C2626"/>
    <w:rsid w:val="008C26AD"/>
    <w:rsid w:val="008C2737"/>
    <w:rsid w:val="008C2825"/>
    <w:rsid w:val="008C2898"/>
    <w:rsid w:val="008C28D5"/>
    <w:rsid w:val="008C2AEA"/>
    <w:rsid w:val="008C2DE4"/>
    <w:rsid w:val="008C2F78"/>
    <w:rsid w:val="008C30BD"/>
    <w:rsid w:val="008C31AC"/>
    <w:rsid w:val="008C3387"/>
    <w:rsid w:val="008C356B"/>
    <w:rsid w:val="008C3892"/>
    <w:rsid w:val="008C3D99"/>
    <w:rsid w:val="008C3DA1"/>
    <w:rsid w:val="008C3DD2"/>
    <w:rsid w:val="008C410E"/>
    <w:rsid w:val="008C412C"/>
    <w:rsid w:val="008C42DA"/>
    <w:rsid w:val="008C44C9"/>
    <w:rsid w:val="008C45CC"/>
    <w:rsid w:val="008C46ED"/>
    <w:rsid w:val="008C481E"/>
    <w:rsid w:val="008C4908"/>
    <w:rsid w:val="008C49F7"/>
    <w:rsid w:val="008C4B8E"/>
    <w:rsid w:val="008C5044"/>
    <w:rsid w:val="008C563E"/>
    <w:rsid w:val="008C5C37"/>
    <w:rsid w:val="008C67AD"/>
    <w:rsid w:val="008C68B9"/>
    <w:rsid w:val="008C6A32"/>
    <w:rsid w:val="008C6FE9"/>
    <w:rsid w:val="008C782E"/>
    <w:rsid w:val="008C7902"/>
    <w:rsid w:val="008C7D5B"/>
    <w:rsid w:val="008D04CF"/>
    <w:rsid w:val="008D07EA"/>
    <w:rsid w:val="008D0A85"/>
    <w:rsid w:val="008D1134"/>
    <w:rsid w:val="008D1157"/>
    <w:rsid w:val="008D19B3"/>
    <w:rsid w:val="008D1E2E"/>
    <w:rsid w:val="008D1EAC"/>
    <w:rsid w:val="008D237C"/>
    <w:rsid w:val="008D2612"/>
    <w:rsid w:val="008D2818"/>
    <w:rsid w:val="008D2BA4"/>
    <w:rsid w:val="008D2D1A"/>
    <w:rsid w:val="008D306D"/>
    <w:rsid w:val="008D3B0E"/>
    <w:rsid w:val="008D3FBF"/>
    <w:rsid w:val="008D426A"/>
    <w:rsid w:val="008D4861"/>
    <w:rsid w:val="008D4A35"/>
    <w:rsid w:val="008D4D82"/>
    <w:rsid w:val="008D4FCE"/>
    <w:rsid w:val="008D525D"/>
    <w:rsid w:val="008D5761"/>
    <w:rsid w:val="008D577B"/>
    <w:rsid w:val="008D57C7"/>
    <w:rsid w:val="008D57D6"/>
    <w:rsid w:val="008D5CA8"/>
    <w:rsid w:val="008D5CCF"/>
    <w:rsid w:val="008D5E71"/>
    <w:rsid w:val="008D6094"/>
    <w:rsid w:val="008D626D"/>
    <w:rsid w:val="008D62A4"/>
    <w:rsid w:val="008D62A7"/>
    <w:rsid w:val="008D6587"/>
    <w:rsid w:val="008D65F6"/>
    <w:rsid w:val="008D6982"/>
    <w:rsid w:val="008D69E6"/>
    <w:rsid w:val="008D6A9A"/>
    <w:rsid w:val="008D6F0F"/>
    <w:rsid w:val="008D6F69"/>
    <w:rsid w:val="008D74C2"/>
    <w:rsid w:val="008D75B4"/>
    <w:rsid w:val="008D76C1"/>
    <w:rsid w:val="008D77F0"/>
    <w:rsid w:val="008E0128"/>
    <w:rsid w:val="008E0218"/>
    <w:rsid w:val="008E0956"/>
    <w:rsid w:val="008E13EE"/>
    <w:rsid w:val="008E155F"/>
    <w:rsid w:val="008E171D"/>
    <w:rsid w:val="008E1EC6"/>
    <w:rsid w:val="008E22B1"/>
    <w:rsid w:val="008E237B"/>
    <w:rsid w:val="008E2542"/>
    <w:rsid w:val="008E26F0"/>
    <w:rsid w:val="008E2791"/>
    <w:rsid w:val="008E2B29"/>
    <w:rsid w:val="008E2B5B"/>
    <w:rsid w:val="008E3607"/>
    <w:rsid w:val="008E37D8"/>
    <w:rsid w:val="008E38DB"/>
    <w:rsid w:val="008E390C"/>
    <w:rsid w:val="008E3BAB"/>
    <w:rsid w:val="008E3BEE"/>
    <w:rsid w:val="008E3E09"/>
    <w:rsid w:val="008E4123"/>
    <w:rsid w:val="008E4395"/>
    <w:rsid w:val="008E496B"/>
    <w:rsid w:val="008E4AB5"/>
    <w:rsid w:val="008E4FB1"/>
    <w:rsid w:val="008E50F2"/>
    <w:rsid w:val="008E5B34"/>
    <w:rsid w:val="008E6262"/>
    <w:rsid w:val="008E63D9"/>
    <w:rsid w:val="008E65A8"/>
    <w:rsid w:val="008E677B"/>
    <w:rsid w:val="008E6A23"/>
    <w:rsid w:val="008E6C8C"/>
    <w:rsid w:val="008E6EBF"/>
    <w:rsid w:val="008E706B"/>
    <w:rsid w:val="008E7BEF"/>
    <w:rsid w:val="008E7D1C"/>
    <w:rsid w:val="008E7EB5"/>
    <w:rsid w:val="008F000C"/>
    <w:rsid w:val="008F07D0"/>
    <w:rsid w:val="008F07DB"/>
    <w:rsid w:val="008F09C5"/>
    <w:rsid w:val="008F0ABC"/>
    <w:rsid w:val="008F0AE5"/>
    <w:rsid w:val="008F108F"/>
    <w:rsid w:val="008F128C"/>
    <w:rsid w:val="008F12C3"/>
    <w:rsid w:val="008F13B6"/>
    <w:rsid w:val="008F13FA"/>
    <w:rsid w:val="008F2330"/>
    <w:rsid w:val="008F2529"/>
    <w:rsid w:val="008F26E0"/>
    <w:rsid w:val="008F2947"/>
    <w:rsid w:val="008F2EAD"/>
    <w:rsid w:val="008F2F61"/>
    <w:rsid w:val="008F33B5"/>
    <w:rsid w:val="008F3B83"/>
    <w:rsid w:val="008F3C8F"/>
    <w:rsid w:val="008F3E51"/>
    <w:rsid w:val="008F41FA"/>
    <w:rsid w:val="008F4598"/>
    <w:rsid w:val="008F463E"/>
    <w:rsid w:val="008F46CE"/>
    <w:rsid w:val="008F47AA"/>
    <w:rsid w:val="008F47B6"/>
    <w:rsid w:val="008F541D"/>
    <w:rsid w:val="008F56EE"/>
    <w:rsid w:val="008F5B76"/>
    <w:rsid w:val="008F5C07"/>
    <w:rsid w:val="008F5D0A"/>
    <w:rsid w:val="008F5E96"/>
    <w:rsid w:val="008F5FD1"/>
    <w:rsid w:val="008F63C0"/>
    <w:rsid w:val="008F646A"/>
    <w:rsid w:val="008F68CC"/>
    <w:rsid w:val="008F6B73"/>
    <w:rsid w:val="008F7057"/>
    <w:rsid w:val="008F7084"/>
    <w:rsid w:val="008F71E1"/>
    <w:rsid w:val="008F7252"/>
    <w:rsid w:val="008F740C"/>
    <w:rsid w:val="008F7629"/>
    <w:rsid w:val="008F7758"/>
    <w:rsid w:val="008F7782"/>
    <w:rsid w:val="008F79FB"/>
    <w:rsid w:val="008F7BE4"/>
    <w:rsid w:val="008F7CC3"/>
    <w:rsid w:val="008F7CFA"/>
    <w:rsid w:val="008F7F23"/>
    <w:rsid w:val="00900195"/>
    <w:rsid w:val="009003EF"/>
    <w:rsid w:val="00900403"/>
    <w:rsid w:val="00900BAB"/>
    <w:rsid w:val="00900D3D"/>
    <w:rsid w:val="00901014"/>
    <w:rsid w:val="009016EB"/>
    <w:rsid w:val="00901A52"/>
    <w:rsid w:val="00901B7D"/>
    <w:rsid w:val="00901E54"/>
    <w:rsid w:val="00901F00"/>
    <w:rsid w:val="00902018"/>
    <w:rsid w:val="0090218C"/>
    <w:rsid w:val="0090230D"/>
    <w:rsid w:val="00902C5E"/>
    <w:rsid w:val="00903835"/>
    <w:rsid w:val="00904072"/>
    <w:rsid w:val="00904081"/>
    <w:rsid w:val="0090423C"/>
    <w:rsid w:val="00904693"/>
    <w:rsid w:val="00904B84"/>
    <w:rsid w:val="00904BC4"/>
    <w:rsid w:val="00904D68"/>
    <w:rsid w:val="00904D6F"/>
    <w:rsid w:val="009057F8"/>
    <w:rsid w:val="009058AB"/>
    <w:rsid w:val="009058F2"/>
    <w:rsid w:val="009059F6"/>
    <w:rsid w:val="00905BB5"/>
    <w:rsid w:val="00905C86"/>
    <w:rsid w:val="00905D41"/>
    <w:rsid w:val="009061A5"/>
    <w:rsid w:val="00906353"/>
    <w:rsid w:val="00906688"/>
    <w:rsid w:val="00907754"/>
    <w:rsid w:val="009078BA"/>
    <w:rsid w:val="009102FA"/>
    <w:rsid w:val="0091078B"/>
    <w:rsid w:val="00910C85"/>
    <w:rsid w:val="00910F44"/>
    <w:rsid w:val="009111F4"/>
    <w:rsid w:val="009113FD"/>
    <w:rsid w:val="009116E8"/>
    <w:rsid w:val="00911726"/>
    <w:rsid w:val="009117B7"/>
    <w:rsid w:val="00911840"/>
    <w:rsid w:val="00911A71"/>
    <w:rsid w:val="00911FAE"/>
    <w:rsid w:val="00912029"/>
    <w:rsid w:val="0091217E"/>
    <w:rsid w:val="009121BE"/>
    <w:rsid w:val="009124D4"/>
    <w:rsid w:val="00912891"/>
    <w:rsid w:val="00912E5C"/>
    <w:rsid w:val="00913251"/>
    <w:rsid w:val="00913575"/>
    <w:rsid w:val="00913805"/>
    <w:rsid w:val="00913D06"/>
    <w:rsid w:val="009142A1"/>
    <w:rsid w:val="00914429"/>
    <w:rsid w:val="009146FA"/>
    <w:rsid w:val="009147D9"/>
    <w:rsid w:val="00914939"/>
    <w:rsid w:val="00914A9F"/>
    <w:rsid w:val="0091530D"/>
    <w:rsid w:val="0091596E"/>
    <w:rsid w:val="00915AE8"/>
    <w:rsid w:val="00916A2C"/>
    <w:rsid w:val="00916A8C"/>
    <w:rsid w:val="00916AC0"/>
    <w:rsid w:val="00916C7A"/>
    <w:rsid w:val="00917159"/>
    <w:rsid w:val="00917E4E"/>
    <w:rsid w:val="009207C1"/>
    <w:rsid w:val="0092105B"/>
    <w:rsid w:val="0092137A"/>
    <w:rsid w:val="009218EB"/>
    <w:rsid w:val="00921A8E"/>
    <w:rsid w:val="00921C6E"/>
    <w:rsid w:val="00921CA5"/>
    <w:rsid w:val="009223A1"/>
    <w:rsid w:val="00922884"/>
    <w:rsid w:val="00922A32"/>
    <w:rsid w:val="00922D33"/>
    <w:rsid w:val="00922FA9"/>
    <w:rsid w:val="00923517"/>
    <w:rsid w:val="009236D7"/>
    <w:rsid w:val="0092379B"/>
    <w:rsid w:val="00923AD2"/>
    <w:rsid w:val="00924411"/>
    <w:rsid w:val="009245DF"/>
    <w:rsid w:val="0092474B"/>
    <w:rsid w:val="00924B49"/>
    <w:rsid w:val="00924B8B"/>
    <w:rsid w:val="009257A7"/>
    <w:rsid w:val="00925F0E"/>
    <w:rsid w:val="0092631A"/>
    <w:rsid w:val="0092662B"/>
    <w:rsid w:val="00926645"/>
    <w:rsid w:val="009266E5"/>
    <w:rsid w:val="009269D1"/>
    <w:rsid w:val="00926B43"/>
    <w:rsid w:val="00926ED4"/>
    <w:rsid w:val="0092721E"/>
    <w:rsid w:val="00927259"/>
    <w:rsid w:val="009272E3"/>
    <w:rsid w:val="009275CF"/>
    <w:rsid w:val="009277E7"/>
    <w:rsid w:val="00927823"/>
    <w:rsid w:val="009279E9"/>
    <w:rsid w:val="00927C5E"/>
    <w:rsid w:val="0093021B"/>
    <w:rsid w:val="009302C3"/>
    <w:rsid w:val="009302EE"/>
    <w:rsid w:val="0093045D"/>
    <w:rsid w:val="00930507"/>
    <w:rsid w:val="009306B8"/>
    <w:rsid w:val="00930AD0"/>
    <w:rsid w:val="00930CFF"/>
    <w:rsid w:val="00930D02"/>
    <w:rsid w:val="00930EDE"/>
    <w:rsid w:val="009311C5"/>
    <w:rsid w:val="009312D6"/>
    <w:rsid w:val="009314E4"/>
    <w:rsid w:val="009317CF"/>
    <w:rsid w:val="00931C60"/>
    <w:rsid w:val="00931F57"/>
    <w:rsid w:val="009320F9"/>
    <w:rsid w:val="0093250E"/>
    <w:rsid w:val="0093268D"/>
    <w:rsid w:val="00932A2A"/>
    <w:rsid w:val="00932CBE"/>
    <w:rsid w:val="00932EA2"/>
    <w:rsid w:val="0093322A"/>
    <w:rsid w:val="00933326"/>
    <w:rsid w:val="00933EB3"/>
    <w:rsid w:val="00933F76"/>
    <w:rsid w:val="009342A9"/>
    <w:rsid w:val="00934332"/>
    <w:rsid w:val="009343B5"/>
    <w:rsid w:val="00934724"/>
    <w:rsid w:val="009348E8"/>
    <w:rsid w:val="00935115"/>
    <w:rsid w:val="0093515C"/>
    <w:rsid w:val="00935761"/>
    <w:rsid w:val="00935A8F"/>
    <w:rsid w:val="009366AC"/>
    <w:rsid w:val="009373B3"/>
    <w:rsid w:val="0093775A"/>
    <w:rsid w:val="00937996"/>
    <w:rsid w:val="00937A3D"/>
    <w:rsid w:val="00937E16"/>
    <w:rsid w:val="0094001E"/>
    <w:rsid w:val="009401A2"/>
    <w:rsid w:val="0094056A"/>
    <w:rsid w:val="00940ED2"/>
    <w:rsid w:val="009412EA"/>
    <w:rsid w:val="00941351"/>
    <w:rsid w:val="009413E2"/>
    <w:rsid w:val="00941C06"/>
    <w:rsid w:val="009425C9"/>
    <w:rsid w:val="0094285A"/>
    <w:rsid w:val="00942BCC"/>
    <w:rsid w:val="00942D2B"/>
    <w:rsid w:val="00943238"/>
    <w:rsid w:val="00943242"/>
    <w:rsid w:val="0094370B"/>
    <w:rsid w:val="009441DB"/>
    <w:rsid w:val="00944621"/>
    <w:rsid w:val="00944D92"/>
    <w:rsid w:val="0094543D"/>
    <w:rsid w:val="009454FA"/>
    <w:rsid w:val="00945563"/>
    <w:rsid w:val="00945709"/>
    <w:rsid w:val="00945FAE"/>
    <w:rsid w:val="00946142"/>
    <w:rsid w:val="0094625A"/>
    <w:rsid w:val="00946CA8"/>
    <w:rsid w:val="00946F8C"/>
    <w:rsid w:val="009475D3"/>
    <w:rsid w:val="00947665"/>
    <w:rsid w:val="009479A3"/>
    <w:rsid w:val="00947E59"/>
    <w:rsid w:val="009506ED"/>
    <w:rsid w:val="00950BDA"/>
    <w:rsid w:val="00951679"/>
    <w:rsid w:val="009516B7"/>
    <w:rsid w:val="00951C10"/>
    <w:rsid w:val="009520E0"/>
    <w:rsid w:val="009520E9"/>
    <w:rsid w:val="0095216F"/>
    <w:rsid w:val="0095259E"/>
    <w:rsid w:val="009526F4"/>
    <w:rsid w:val="009529E5"/>
    <w:rsid w:val="00952AC9"/>
    <w:rsid w:val="00952E69"/>
    <w:rsid w:val="00953461"/>
    <w:rsid w:val="00953A02"/>
    <w:rsid w:val="00953A7F"/>
    <w:rsid w:val="00953AC5"/>
    <w:rsid w:val="00953C1A"/>
    <w:rsid w:val="00953E2E"/>
    <w:rsid w:val="00954060"/>
    <w:rsid w:val="009540B5"/>
    <w:rsid w:val="009541D6"/>
    <w:rsid w:val="0095420D"/>
    <w:rsid w:val="0095420E"/>
    <w:rsid w:val="00954AA6"/>
    <w:rsid w:val="00954BDF"/>
    <w:rsid w:val="00954F4E"/>
    <w:rsid w:val="009551BF"/>
    <w:rsid w:val="009553BA"/>
    <w:rsid w:val="009558A8"/>
    <w:rsid w:val="00955C31"/>
    <w:rsid w:val="00955CB9"/>
    <w:rsid w:val="00955CD8"/>
    <w:rsid w:val="00955FF8"/>
    <w:rsid w:val="00956295"/>
    <w:rsid w:val="0095666F"/>
    <w:rsid w:val="009566D6"/>
    <w:rsid w:val="00956729"/>
    <w:rsid w:val="009569B8"/>
    <w:rsid w:val="00956CCA"/>
    <w:rsid w:val="00956CD1"/>
    <w:rsid w:val="00956D2B"/>
    <w:rsid w:val="00957878"/>
    <w:rsid w:val="00957A66"/>
    <w:rsid w:val="00957CBF"/>
    <w:rsid w:val="00957E4D"/>
    <w:rsid w:val="00957F1E"/>
    <w:rsid w:val="00960483"/>
    <w:rsid w:val="009604F4"/>
    <w:rsid w:val="009605F0"/>
    <w:rsid w:val="00960643"/>
    <w:rsid w:val="00960762"/>
    <w:rsid w:val="0096083D"/>
    <w:rsid w:val="0096095E"/>
    <w:rsid w:val="00960CA3"/>
    <w:rsid w:val="009610F9"/>
    <w:rsid w:val="009613B8"/>
    <w:rsid w:val="009617B5"/>
    <w:rsid w:val="00961B6F"/>
    <w:rsid w:val="00961E32"/>
    <w:rsid w:val="0096213A"/>
    <w:rsid w:val="00962A1D"/>
    <w:rsid w:val="00962A38"/>
    <w:rsid w:val="00962BDE"/>
    <w:rsid w:val="009633A8"/>
    <w:rsid w:val="00963822"/>
    <w:rsid w:val="009642FC"/>
    <w:rsid w:val="009645AE"/>
    <w:rsid w:val="009646AD"/>
    <w:rsid w:val="009648A6"/>
    <w:rsid w:val="009649ED"/>
    <w:rsid w:val="00964B98"/>
    <w:rsid w:val="009652BD"/>
    <w:rsid w:val="00965779"/>
    <w:rsid w:val="009658D9"/>
    <w:rsid w:val="009658EE"/>
    <w:rsid w:val="00965D22"/>
    <w:rsid w:val="00965DD5"/>
    <w:rsid w:val="009665D6"/>
    <w:rsid w:val="009669E6"/>
    <w:rsid w:val="009669FB"/>
    <w:rsid w:val="00966A01"/>
    <w:rsid w:val="00966ADB"/>
    <w:rsid w:val="00966C06"/>
    <w:rsid w:val="00966C87"/>
    <w:rsid w:val="00967455"/>
    <w:rsid w:val="00967883"/>
    <w:rsid w:val="009701E7"/>
    <w:rsid w:val="009702B3"/>
    <w:rsid w:val="00970513"/>
    <w:rsid w:val="00970556"/>
    <w:rsid w:val="009706D6"/>
    <w:rsid w:val="00970774"/>
    <w:rsid w:val="00970CAA"/>
    <w:rsid w:val="00971085"/>
    <w:rsid w:val="00971251"/>
    <w:rsid w:val="00971326"/>
    <w:rsid w:val="00971331"/>
    <w:rsid w:val="00971334"/>
    <w:rsid w:val="009714D7"/>
    <w:rsid w:val="0097156A"/>
    <w:rsid w:val="0097191F"/>
    <w:rsid w:val="00971C02"/>
    <w:rsid w:val="00971C55"/>
    <w:rsid w:val="00971D7A"/>
    <w:rsid w:val="00971FBC"/>
    <w:rsid w:val="009720C4"/>
    <w:rsid w:val="009722C6"/>
    <w:rsid w:val="00972436"/>
    <w:rsid w:val="00972502"/>
    <w:rsid w:val="009725A0"/>
    <w:rsid w:val="00972992"/>
    <w:rsid w:val="00972CDE"/>
    <w:rsid w:val="00972E71"/>
    <w:rsid w:val="0097316B"/>
    <w:rsid w:val="00973433"/>
    <w:rsid w:val="00973542"/>
    <w:rsid w:val="009735EB"/>
    <w:rsid w:val="00973843"/>
    <w:rsid w:val="0097408C"/>
    <w:rsid w:val="00974305"/>
    <w:rsid w:val="0097496E"/>
    <w:rsid w:val="009749D0"/>
    <w:rsid w:val="00974D02"/>
    <w:rsid w:val="00974D29"/>
    <w:rsid w:val="00974FF1"/>
    <w:rsid w:val="009752E8"/>
    <w:rsid w:val="00975392"/>
    <w:rsid w:val="00975584"/>
    <w:rsid w:val="00975DD8"/>
    <w:rsid w:val="009766FB"/>
    <w:rsid w:val="009768DE"/>
    <w:rsid w:val="009769B2"/>
    <w:rsid w:val="00976D67"/>
    <w:rsid w:val="0097701C"/>
    <w:rsid w:val="00977345"/>
    <w:rsid w:val="009775B3"/>
    <w:rsid w:val="00977BD2"/>
    <w:rsid w:val="00977E58"/>
    <w:rsid w:val="009803B4"/>
    <w:rsid w:val="0098079D"/>
    <w:rsid w:val="00980D9A"/>
    <w:rsid w:val="00980F1F"/>
    <w:rsid w:val="00980F5D"/>
    <w:rsid w:val="0098117D"/>
    <w:rsid w:val="00981498"/>
    <w:rsid w:val="009818E3"/>
    <w:rsid w:val="00981BEF"/>
    <w:rsid w:val="00981F74"/>
    <w:rsid w:val="00981FFB"/>
    <w:rsid w:val="009820E0"/>
    <w:rsid w:val="009822B9"/>
    <w:rsid w:val="009822E2"/>
    <w:rsid w:val="009824D5"/>
    <w:rsid w:val="009825B7"/>
    <w:rsid w:val="00982683"/>
    <w:rsid w:val="00982B84"/>
    <w:rsid w:val="00982BE6"/>
    <w:rsid w:val="00982C09"/>
    <w:rsid w:val="00982F26"/>
    <w:rsid w:val="00983BA3"/>
    <w:rsid w:val="00983C0A"/>
    <w:rsid w:val="00983D92"/>
    <w:rsid w:val="00983EA3"/>
    <w:rsid w:val="00983FFA"/>
    <w:rsid w:val="0098427A"/>
    <w:rsid w:val="009846F8"/>
    <w:rsid w:val="00984B38"/>
    <w:rsid w:val="00984EE2"/>
    <w:rsid w:val="009851C1"/>
    <w:rsid w:val="00985477"/>
    <w:rsid w:val="00985724"/>
    <w:rsid w:val="00985AC9"/>
    <w:rsid w:val="00985C83"/>
    <w:rsid w:val="0098607B"/>
    <w:rsid w:val="00986191"/>
    <w:rsid w:val="00986577"/>
    <w:rsid w:val="00986E46"/>
    <w:rsid w:val="0098711D"/>
    <w:rsid w:val="009874B2"/>
    <w:rsid w:val="009876D9"/>
    <w:rsid w:val="00987853"/>
    <w:rsid w:val="00987943"/>
    <w:rsid w:val="00987A8E"/>
    <w:rsid w:val="00987AC6"/>
    <w:rsid w:val="00987B40"/>
    <w:rsid w:val="00987D64"/>
    <w:rsid w:val="00987E8D"/>
    <w:rsid w:val="0099003F"/>
    <w:rsid w:val="00990320"/>
    <w:rsid w:val="00990801"/>
    <w:rsid w:val="00990EDF"/>
    <w:rsid w:val="00991135"/>
    <w:rsid w:val="009912B4"/>
    <w:rsid w:val="009913E4"/>
    <w:rsid w:val="00991400"/>
    <w:rsid w:val="0099156F"/>
    <w:rsid w:val="009915C6"/>
    <w:rsid w:val="00991AA4"/>
    <w:rsid w:val="00991EFA"/>
    <w:rsid w:val="00992125"/>
    <w:rsid w:val="009923C6"/>
    <w:rsid w:val="00992427"/>
    <w:rsid w:val="009924AC"/>
    <w:rsid w:val="009925AA"/>
    <w:rsid w:val="00992719"/>
    <w:rsid w:val="009929A6"/>
    <w:rsid w:val="009929B3"/>
    <w:rsid w:val="009934D7"/>
    <w:rsid w:val="009935C2"/>
    <w:rsid w:val="009935CF"/>
    <w:rsid w:val="00993669"/>
    <w:rsid w:val="00993D98"/>
    <w:rsid w:val="009944D4"/>
    <w:rsid w:val="009945B1"/>
    <w:rsid w:val="00994B29"/>
    <w:rsid w:val="00994C57"/>
    <w:rsid w:val="00994FFA"/>
    <w:rsid w:val="00995233"/>
    <w:rsid w:val="00995499"/>
    <w:rsid w:val="0099571D"/>
    <w:rsid w:val="00995CD3"/>
    <w:rsid w:val="00995DB3"/>
    <w:rsid w:val="00995E3E"/>
    <w:rsid w:val="00996098"/>
    <w:rsid w:val="0099651D"/>
    <w:rsid w:val="009967D7"/>
    <w:rsid w:val="00996D48"/>
    <w:rsid w:val="00997382"/>
    <w:rsid w:val="00997594"/>
    <w:rsid w:val="00997610"/>
    <w:rsid w:val="00997644"/>
    <w:rsid w:val="0099767B"/>
    <w:rsid w:val="009977DC"/>
    <w:rsid w:val="009978F0"/>
    <w:rsid w:val="00997B44"/>
    <w:rsid w:val="00997D59"/>
    <w:rsid w:val="00997E1A"/>
    <w:rsid w:val="00997E82"/>
    <w:rsid w:val="00997FA6"/>
    <w:rsid w:val="009A04B4"/>
    <w:rsid w:val="009A06C8"/>
    <w:rsid w:val="009A0AE4"/>
    <w:rsid w:val="009A0AE8"/>
    <w:rsid w:val="009A0E14"/>
    <w:rsid w:val="009A14D2"/>
    <w:rsid w:val="009A1886"/>
    <w:rsid w:val="009A1B0D"/>
    <w:rsid w:val="009A1B93"/>
    <w:rsid w:val="009A1DFE"/>
    <w:rsid w:val="009A21BF"/>
    <w:rsid w:val="009A24B6"/>
    <w:rsid w:val="009A28C2"/>
    <w:rsid w:val="009A2B59"/>
    <w:rsid w:val="009A2DF7"/>
    <w:rsid w:val="009A315A"/>
    <w:rsid w:val="009A31D9"/>
    <w:rsid w:val="009A33BD"/>
    <w:rsid w:val="009A354F"/>
    <w:rsid w:val="009A3629"/>
    <w:rsid w:val="009A3805"/>
    <w:rsid w:val="009A3A80"/>
    <w:rsid w:val="009A3BF0"/>
    <w:rsid w:val="009A3D0F"/>
    <w:rsid w:val="009A3ED6"/>
    <w:rsid w:val="009A3FCA"/>
    <w:rsid w:val="009A4670"/>
    <w:rsid w:val="009A4A01"/>
    <w:rsid w:val="009A4B1B"/>
    <w:rsid w:val="009A4D5C"/>
    <w:rsid w:val="009A50CC"/>
    <w:rsid w:val="009A5311"/>
    <w:rsid w:val="009A54FF"/>
    <w:rsid w:val="009A55F3"/>
    <w:rsid w:val="009A5670"/>
    <w:rsid w:val="009A5BCB"/>
    <w:rsid w:val="009A5F21"/>
    <w:rsid w:val="009A6316"/>
    <w:rsid w:val="009A646A"/>
    <w:rsid w:val="009A748C"/>
    <w:rsid w:val="009A74A2"/>
    <w:rsid w:val="009A74A6"/>
    <w:rsid w:val="009A7647"/>
    <w:rsid w:val="009A76D0"/>
    <w:rsid w:val="009A77A5"/>
    <w:rsid w:val="009A7AC7"/>
    <w:rsid w:val="009A7B2A"/>
    <w:rsid w:val="009A7DB4"/>
    <w:rsid w:val="009A7F33"/>
    <w:rsid w:val="009B0469"/>
    <w:rsid w:val="009B0876"/>
    <w:rsid w:val="009B0ADC"/>
    <w:rsid w:val="009B0CB1"/>
    <w:rsid w:val="009B0CBD"/>
    <w:rsid w:val="009B1454"/>
    <w:rsid w:val="009B16C2"/>
    <w:rsid w:val="009B196A"/>
    <w:rsid w:val="009B1B8A"/>
    <w:rsid w:val="009B1BEB"/>
    <w:rsid w:val="009B1BF6"/>
    <w:rsid w:val="009B1C3A"/>
    <w:rsid w:val="009B1E1E"/>
    <w:rsid w:val="009B2252"/>
    <w:rsid w:val="009B230C"/>
    <w:rsid w:val="009B2453"/>
    <w:rsid w:val="009B25B1"/>
    <w:rsid w:val="009B2B44"/>
    <w:rsid w:val="009B317C"/>
    <w:rsid w:val="009B37F5"/>
    <w:rsid w:val="009B3820"/>
    <w:rsid w:val="009B3ECE"/>
    <w:rsid w:val="009B3F4E"/>
    <w:rsid w:val="009B415A"/>
    <w:rsid w:val="009B41AC"/>
    <w:rsid w:val="009B4320"/>
    <w:rsid w:val="009B49CC"/>
    <w:rsid w:val="009B4AB5"/>
    <w:rsid w:val="009B4D98"/>
    <w:rsid w:val="009B4F40"/>
    <w:rsid w:val="009B4F52"/>
    <w:rsid w:val="009B5141"/>
    <w:rsid w:val="009B52F6"/>
    <w:rsid w:val="009B535B"/>
    <w:rsid w:val="009B54D0"/>
    <w:rsid w:val="009B56BA"/>
    <w:rsid w:val="009B57F4"/>
    <w:rsid w:val="009B5953"/>
    <w:rsid w:val="009B5ADE"/>
    <w:rsid w:val="009B5C7B"/>
    <w:rsid w:val="009B5E82"/>
    <w:rsid w:val="009B5F44"/>
    <w:rsid w:val="009B6875"/>
    <w:rsid w:val="009B6C74"/>
    <w:rsid w:val="009B6E0B"/>
    <w:rsid w:val="009B6EE0"/>
    <w:rsid w:val="009B7194"/>
    <w:rsid w:val="009B76F4"/>
    <w:rsid w:val="009B7725"/>
    <w:rsid w:val="009B78DC"/>
    <w:rsid w:val="009B7A05"/>
    <w:rsid w:val="009B7CA5"/>
    <w:rsid w:val="009B7CCD"/>
    <w:rsid w:val="009B7F4C"/>
    <w:rsid w:val="009C00B8"/>
    <w:rsid w:val="009C0611"/>
    <w:rsid w:val="009C0C41"/>
    <w:rsid w:val="009C0D4F"/>
    <w:rsid w:val="009C0EF0"/>
    <w:rsid w:val="009C1144"/>
    <w:rsid w:val="009C1379"/>
    <w:rsid w:val="009C18B4"/>
    <w:rsid w:val="009C1F78"/>
    <w:rsid w:val="009C2386"/>
    <w:rsid w:val="009C25F3"/>
    <w:rsid w:val="009C2618"/>
    <w:rsid w:val="009C2899"/>
    <w:rsid w:val="009C289D"/>
    <w:rsid w:val="009C28EF"/>
    <w:rsid w:val="009C2B22"/>
    <w:rsid w:val="009C2DE9"/>
    <w:rsid w:val="009C2FEA"/>
    <w:rsid w:val="009C3219"/>
    <w:rsid w:val="009C34B9"/>
    <w:rsid w:val="009C3629"/>
    <w:rsid w:val="009C372F"/>
    <w:rsid w:val="009C3768"/>
    <w:rsid w:val="009C395A"/>
    <w:rsid w:val="009C3C3E"/>
    <w:rsid w:val="009C3E6D"/>
    <w:rsid w:val="009C42A6"/>
    <w:rsid w:val="009C4590"/>
    <w:rsid w:val="009C494D"/>
    <w:rsid w:val="009C54E5"/>
    <w:rsid w:val="009C54F8"/>
    <w:rsid w:val="009C558E"/>
    <w:rsid w:val="009C6560"/>
    <w:rsid w:val="009C6921"/>
    <w:rsid w:val="009C6A88"/>
    <w:rsid w:val="009C6ABB"/>
    <w:rsid w:val="009C6DF4"/>
    <w:rsid w:val="009C6E7F"/>
    <w:rsid w:val="009C6F46"/>
    <w:rsid w:val="009C7052"/>
    <w:rsid w:val="009C7545"/>
    <w:rsid w:val="009C79C9"/>
    <w:rsid w:val="009D03BD"/>
    <w:rsid w:val="009D0676"/>
    <w:rsid w:val="009D06DD"/>
    <w:rsid w:val="009D0B23"/>
    <w:rsid w:val="009D0C4C"/>
    <w:rsid w:val="009D1001"/>
    <w:rsid w:val="009D219F"/>
    <w:rsid w:val="009D2239"/>
    <w:rsid w:val="009D25A3"/>
    <w:rsid w:val="009D2606"/>
    <w:rsid w:val="009D279E"/>
    <w:rsid w:val="009D2C46"/>
    <w:rsid w:val="009D2CA3"/>
    <w:rsid w:val="009D2CF3"/>
    <w:rsid w:val="009D2D86"/>
    <w:rsid w:val="009D306E"/>
    <w:rsid w:val="009D3488"/>
    <w:rsid w:val="009D34CF"/>
    <w:rsid w:val="009D352A"/>
    <w:rsid w:val="009D35FB"/>
    <w:rsid w:val="009D3BA1"/>
    <w:rsid w:val="009D43FF"/>
    <w:rsid w:val="009D4448"/>
    <w:rsid w:val="009D4A40"/>
    <w:rsid w:val="009D4A70"/>
    <w:rsid w:val="009D5140"/>
    <w:rsid w:val="009D5151"/>
    <w:rsid w:val="009D5198"/>
    <w:rsid w:val="009D5783"/>
    <w:rsid w:val="009D58DC"/>
    <w:rsid w:val="009D5906"/>
    <w:rsid w:val="009D5F5D"/>
    <w:rsid w:val="009D6054"/>
    <w:rsid w:val="009D62C5"/>
    <w:rsid w:val="009D6469"/>
    <w:rsid w:val="009D665F"/>
    <w:rsid w:val="009D678D"/>
    <w:rsid w:val="009D6814"/>
    <w:rsid w:val="009D708C"/>
    <w:rsid w:val="009D7247"/>
    <w:rsid w:val="009D7554"/>
    <w:rsid w:val="009D7683"/>
    <w:rsid w:val="009D782D"/>
    <w:rsid w:val="009D786F"/>
    <w:rsid w:val="009D7DA8"/>
    <w:rsid w:val="009E0259"/>
    <w:rsid w:val="009E0588"/>
    <w:rsid w:val="009E085A"/>
    <w:rsid w:val="009E0A9C"/>
    <w:rsid w:val="009E0BEF"/>
    <w:rsid w:val="009E1474"/>
    <w:rsid w:val="009E197A"/>
    <w:rsid w:val="009E1D5D"/>
    <w:rsid w:val="009E1F17"/>
    <w:rsid w:val="009E20AB"/>
    <w:rsid w:val="009E2365"/>
    <w:rsid w:val="009E2480"/>
    <w:rsid w:val="009E26A5"/>
    <w:rsid w:val="009E2A30"/>
    <w:rsid w:val="009E2B4E"/>
    <w:rsid w:val="009E2E2D"/>
    <w:rsid w:val="009E2E3E"/>
    <w:rsid w:val="009E34ED"/>
    <w:rsid w:val="009E3761"/>
    <w:rsid w:val="009E3B3D"/>
    <w:rsid w:val="009E3C4B"/>
    <w:rsid w:val="009E4004"/>
    <w:rsid w:val="009E4104"/>
    <w:rsid w:val="009E44E1"/>
    <w:rsid w:val="009E4C92"/>
    <w:rsid w:val="009E5305"/>
    <w:rsid w:val="009E57C3"/>
    <w:rsid w:val="009E5AFD"/>
    <w:rsid w:val="009E5EA4"/>
    <w:rsid w:val="009E5EC7"/>
    <w:rsid w:val="009E5F89"/>
    <w:rsid w:val="009E6381"/>
    <w:rsid w:val="009E63E8"/>
    <w:rsid w:val="009E6727"/>
    <w:rsid w:val="009E67B7"/>
    <w:rsid w:val="009E68FA"/>
    <w:rsid w:val="009E6AE9"/>
    <w:rsid w:val="009E6B21"/>
    <w:rsid w:val="009E6B59"/>
    <w:rsid w:val="009E6D5F"/>
    <w:rsid w:val="009E6E7D"/>
    <w:rsid w:val="009E7530"/>
    <w:rsid w:val="009E79A5"/>
    <w:rsid w:val="009E7F33"/>
    <w:rsid w:val="009E7F53"/>
    <w:rsid w:val="009F005B"/>
    <w:rsid w:val="009F0119"/>
    <w:rsid w:val="009F06F8"/>
    <w:rsid w:val="009F083B"/>
    <w:rsid w:val="009F09E5"/>
    <w:rsid w:val="009F09F6"/>
    <w:rsid w:val="009F0C03"/>
    <w:rsid w:val="009F131C"/>
    <w:rsid w:val="009F1334"/>
    <w:rsid w:val="009F1746"/>
    <w:rsid w:val="009F1917"/>
    <w:rsid w:val="009F1A4C"/>
    <w:rsid w:val="009F1AE6"/>
    <w:rsid w:val="009F1E34"/>
    <w:rsid w:val="009F212C"/>
    <w:rsid w:val="009F22AF"/>
    <w:rsid w:val="009F282D"/>
    <w:rsid w:val="009F289B"/>
    <w:rsid w:val="009F298F"/>
    <w:rsid w:val="009F2D21"/>
    <w:rsid w:val="009F3199"/>
    <w:rsid w:val="009F34E1"/>
    <w:rsid w:val="009F3681"/>
    <w:rsid w:val="009F37B2"/>
    <w:rsid w:val="009F403E"/>
    <w:rsid w:val="009F451F"/>
    <w:rsid w:val="009F47F0"/>
    <w:rsid w:val="009F4AB8"/>
    <w:rsid w:val="009F4B8B"/>
    <w:rsid w:val="009F4CD8"/>
    <w:rsid w:val="009F4E5B"/>
    <w:rsid w:val="009F502B"/>
    <w:rsid w:val="009F5552"/>
    <w:rsid w:val="009F5759"/>
    <w:rsid w:val="009F5D71"/>
    <w:rsid w:val="009F6439"/>
    <w:rsid w:val="009F67C9"/>
    <w:rsid w:val="009F69C9"/>
    <w:rsid w:val="009F7B94"/>
    <w:rsid w:val="009F7C05"/>
    <w:rsid w:val="009F7CBD"/>
    <w:rsid w:val="00A00604"/>
    <w:rsid w:val="00A009C5"/>
    <w:rsid w:val="00A00D02"/>
    <w:rsid w:val="00A00EAD"/>
    <w:rsid w:val="00A00FC3"/>
    <w:rsid w:val="00A01055"/>
    <w:rsid w:val="00A01247"/>
    <w:rsid w:val="00A01642"/>
    <w:rsid w:val="00A01831"/>
    <w:rsid w:val="00A01890"/>
    <w:rsid w:val="00A01B5D"/>
    <w:rsid w:val="00A01B9B"/>
    <w:rsid w:val="00A01FF5"/>
    <w:rsid w:val="00A02FA4"/>
    <w:rsid w:val="00A0326C"/>
    <w:rsid w:val="00A034C9"/>
    <w:rsid w:val="00A03582"/>
    <w:rsid w:val="00A036E8"/>
    <w:rsid w:val="00A03F2A"/>
    <w:rsid w:val="00A040C0"/>
    <w:rsid w:val="00A04686"/>
    <w:rsid w:val="00A047D3"/>
    <w:rsid w:val="00A047D7"/>
    <w:rsid w:val="00A0480A"/>
    <w:rsid w:val="00A0498D"/>
    <w:rsid w:val="00A04DEB"/>
    <w:rsid w:val="00A04E06"/>
    <w:rsid w:val="00A04F46"/>
    <w:rsid w:val="00A051BB"/>
    <w:rsid w:val="00A055CB"/>
    <w:rsid w:val="00A056CF"/>
    <w:rsid w:val="00A05A44"/>
    <w:rsid w:val="00A05E56"/>
    <w:rsid w:val="00A0625A"/>
    <w:rsid w:val="00A06399"/>
    <w:rsid w:val="00A06897"/>
    <w:rsid w:val="00A06900"/>
    <w:rsid w:val="00A07041"/>
    <w:rsid w:val="00A07707"/>
    <w:rsid w:val="00A07B7D"/>
    <w:rsid w:val="00A07BF6"/>
    <w:rsid w:val="00A10117"/>
    <w:rsid w:val="00A102CD"/>
    <w:rsid w:val="00A103C3"/>
    <w:rsid w:val="00A1088A"/>
    <w:rsid w:val="00A108B8"/>
    <w:rsid w:val="00A10A4F"/>
    <w:rsid w:val="00A10BC3"/>
    <w:rsid w:val="00A10C3F"/>
    <w:rsid w:val="00A11135"/>
    <w:rsid w:val="00A1136F"/>
    <w:rsid w:val="00A1165F"/>
    <w:rsid w:val="00A11737"/>
    <w:rsid w:val="00A11AFD"/>
    <w:rsid w:val="00A11D34"/>
    <w:rsid w:val="00A120B9"/>
    <w:rsid w:val="00A12196"/>
    <w:rsid w:val="00A1263A"/>
    <w:rsid w:val="00A12746"/>
    <w:rsid w:val="00A129ED"/>
    <w:rsid w:val="00A12ADB"/>
    <w:rsid w:val="00A12B94"/>
    <w:rsid w:val="00A12E58"/>
    <w:rsid w:val="00A12F6E"/>
    <w:rsid w:val="00A13090"/>
    <w:rsid w:val="00A13C11"/>
    <w:rsid w:val="00A13C9C"/>
    <w:rsid w:val="00A14118"/>
    <w:rsid w:val="00A141DF"/>
    <w:rsid w:val="00A149D2"/>
    <w:rsid w:val="00A14B56"/>
    <w:rsid w:val="00A14E96"/>
    <w:rsid w:val="00A151D9"/>
    <w:rsid w:val="00A15267"/>
    <w:rsid w:val="00A155CC"/>
    <w:rsid w:val="00A15780"/>
    <w:rsid w:val="00A1579D"/>
    <w:rsid w:val="00A158A3"/>
    <w:rsid w:val="00A15AF9"/>
    <w:rsid w:val="00A161CD"/>
    <w:rsid w:val="00A16262"/>
    <w:rsid w:val="00A1640F"/>
    <w:rsid w:val="00A16571"/>
    <w:rsid w:val="00A16ADF"/>
    <w:rsid w:val="00A16C07"/>
    <w:rsid w:val="00A17194"/>
    <w:rsid w:val="00A17486"/>
    <w:rsid w:val="00A17579"/>
    <w:rsid w:val="00A175D0"/>
    <w:rsid w:val="00A176D8"/>
    <w:rsid w:val="00A17F69"/>
    <w:rsid w:val="00A20353"/>
    <w:rsid w:val="00A203C7"/>
    <w:rsid w:val="00A2058C"/>
    <w:rsid w:val="00A2061A"/>
    <w:rsid w:val="00A207D1"/>
    <w:rsid w:val="00A20B3A"/>
    <w:rsid w:val="00A20ECA"/>
    <w:rsid w:val="00A211FA"/>
    <w:rsid w:val="00A21AF5"/>
    <w:rsid w:val="00A21E1F"/>
    <w:rsid w:val="00A222CC"/>
    <w:rsid w:val="00A22511"/>
    <w:rsid w:val="00A226F1"/>
    <w:rsid w:val="00A22DDE"/>
    <w:rsid w:val="00A22FFD"/>
    <w:rsid w:val="00A23232"/>
    <w:rsid w:val="00A23B57"/>
    <w:rsid w:val="00A23F3C"/>
    <w:rsid w:val="00A24033"/>
    <w:rsid w:val="00A2439A"/>
    <w:rsid w:val="00A2449B"/>
    <w:rsid w:val="00A246B1"/>
    <w:rsid w:val="00A24A38"/>
    <w:rsid w:val="00A2575E"/>
    <w:rsid w:val="00A25ADA"/>
    <w:rsid w:val="00A25BD0"/>
    <w:rsid w:val="00A25DA1"/>
    <w:rsid w:val="00A25E52"/>
    <w:rsid w:val="00A263B3"/>
    <w:rsid w:val="00A2698E"/>
    <w:rsid w:val="00A269F2"/>
    <w:rsid w:val="00A26D45"/>
    <w:rsid w:val="00A2715C"/>
    <w:rsid w:val="00A271A7"/>
    <w:rsid w:val="00A300F7"/>
    <w:rsid w:val="00A3026C"/>
    <w:rsid w:val="00A306C6"/>
    <w:rsid w:val="00A3098B"/>
    <w:rsid w:val="00A30E56"/>
    <w:rsid w:val="00A310AE"/>
    <w:rsid w:val="00A312D3"/>
    <w:rsid w:val="00A31431"/>
    <w:rsid w:val="00A31775"/>
    <w:rsid w:val="00A32622"/>
    <w:rsid w:val="00A32934"/>
    <w:rsid w:val="00A33088"/>
    <w:rsid w:val="00A33266"/>
    <w:rsid w:val="00A33754"/>
    <w:rsid w:val="00A33814"/>
    <w:rsid w:val="00A33B4D"/>
    <w:rsid w:val="00A33C2A"/>
    <w:rsid w:val="00A33F4D"/>
    <w:rsid w:val="00A33F58"/>
    <w:rsid w:val="00A33FF7"/>
    <w:rsid w:val="00A340B3"/>
    <w:rsid w:val="00A3412B"/>
    <w:rsid w:val="00A343EB"/>
    <w:rsid w:val="00A345E5"/>
    <w:rsid w:val="00A349B4"/>
    <w:rsid w:val="00A34D9E"/>
    <w:rsid w:val="00A34F76"/>
    <w:rsid w:val="00A35214"/>
    <w:rsid w:val="00A3592E"/>
    <w:rsid w:val="00A3597C"/>
    <w:rsid w:val="00A35CBA"/>
    <w:rsid w:val="00A35EF7"/>
    <w:rsid w:val="00A362F6"/>
    <w:rsid w:val="00A36590"/>
    <w:rsid w:val="00A365D4"/>
    <w:rsid w:val="00A36F83"/>
    <w:rsid w:val="00A3734C"/>
    <w:rsid w:val="00A37439"/>
    <w:rsid w:val="00A37476"/>
    <w:rsid w:val="00A37963"/>
    <w:rsid w:val="00A37A65"/>
    <w:rsid w:val="00A37DF9"/>
    <w:rsid w:val="00A37E59"/>
    <w:rsid w:val="00A37FEA"/>
    <w:rsid w:val="00A4069F"/>
    <w:rsid w:val="00A4095E"/>
    <w:rsid w:val="00A40B79"/>
    <w:rsid w:val="00A40D86"/>
    <w:rsid w:val="00A40E4B"/>
    <w:rsid w:val="00A417A0"/>
    <w:rsid w:val="00A42160"/>
    <w:rsid w:val="00A422D8"/>
    <w:rsid w:val="00A42485"/>
    <w:rsid w:val="00A427E8"/>
    <w:rsid w:val="00A42C5C"/>
    <w:rsid w:val="00A431EE"/>
    <w:rsid w:val="00A4337A"/>
    <w:rsid w:val="00A4379D"/>
    <w:rsid w:val="00A4395C"/>
    <w:rsid w:val="00A439FD"/>
    <w:rsid w:val="00A43D59"/>
    <w:rsid w:val="00A44568"/>
    <w:rsid w:val="00A4473E"/>
    <w:rsid w:val="00A44EBA"/>
    <w:rsid w:val="00A452CE"/>
    <w:rsid w:val="00A454CE"/>
    <w:rsid w:val="00A45AE7"/>
    <w:rsid w:val="00A460CC"/>
    <w:rsid w:val="00A46155"/>
    <w:rsid w:val="00A46BF7"/>
    <w:rsid w:val="00A46F88"/>
    <w:rsid w:val="00A47254"/>
    <w:rsid w:val="00A47B24"/>
    <w:rsid w:val="00A47CA1"/>
    <w:rsid w:val="00A50142"/>
    <w:rsid w:val="00A50312"/>
    <w:rsid w:val="00A5039E"/>
    <w:rsid w:val="00A5056F"/>
    <w:rsid w:val="00A50673"/>
    <w:rsid w:val="00A50735"/>
    <w:rsid w:val="00A50929"/>
    <w:rsid w:val="00A50B4D"/>
    <w:rsid w:val="00A50C85"/>
    <w:rsid w:val="00A50E16"/>
    <w:rsid w:val="00A5117A"/>
    <w:rsid w:val="00A511F9"/>
    <w:rsid w:val="00A516D4"/>
    <w:rsid w:val="00A51A5D"/>
    <w:rsid w:val="00A51BA8"/>
    <w:rsid w:val="00A51BF9"/>
    <w:rsid w:val="00A51CF4"/>
    <w:rsid w:val="00A52451"/>
    <w:rsid w:val="00A52D5C"/>
    <w:rsid w:val="00A52D8B"/>
    <w:rsid w:val="00A530F2"/>
    <w:rsid w:val="00A5405B"/>
    <w:rsid w:val="00A547B8"/>
    <w:rsid w:val="00A54833"/>
    <w:rsid w:val="00A5488F"/>
    <w:rsid w:val="00A54A2B"/>
    <w:rsid w:val="00A54C73"/>
    <w:rsid w:val="00A54F08"/>
    <w:rsid w:val="00A54F79"/>
    <w:rsid w:val="00A551C1"/>
    <w:rsid w:val="00A5551B"/>
    <w:rsid w:val="00A55C17"/>
    <w:rsid w:val="00A55C8D"/>
    <w:rsid w:val="00A55DAF"/>
    <w:rsid w:val="00A56077"/>
    <w:rsid w:val="00A561EF"/>
    <w:rsid w:val="00A56319"/>
    <w:rsid w:val="00A56488"/>
    <w:rsid w:val="00A56834"/>
    <w:rsid w:val="00A568AD"/>
    <w:rsid w:val="00A5690A"/>
    <w:rsid w:val="00A56C79"/>
    <w:rsid w:val="00A56C91"/>
    <w:rsid w:val="00A56F06"/>
    <w:rsid w:val="00A56FCE"/>
    <w:rsid w:val="00A57581"/>
    <w:rsid w:val="00A5777D"/>
    <w:rsid w:val="00A57993"/>
    <w:rsid w:val="00A579A8"/>
    <w:rsid w:val="00A57C87"/>
    <w:rsid w:val="00A600DC"/>
    <w:rsid w:val="00A60306"/>
    <w:rsid w:val="00A6064B"/>
    <w:rsid w:val="00A60E00"/>
    <w:rsid w:val="00A60F34"/>
    <w:rsid w:val="00A610EE"/>
    <w:rsid w:val="00A613AD"/>
    <w:rsid w:val="00A617B2"/>
    <w:rsid w:val="00A61AEA"/>
    <w:rsid w:val="00A61B77"/>
    <w:rsid w:val="00A61C9F"/>
    <w:rsid w:val="00A61F78"/>
    <w:rsid w:val="00A62004"/>
    <w:rsid w:val="00A62049"/>
    <w:rsid w:val="00A623CB"/>
    <w:rsid w:val="00A626BD"/>
    <w:rsid w:val="00A62E8F"/>
    <w:rsid w:val="00A6301E"/>
    <w:rsid w:val="00A6303B"/>
    <w:rsid w:val="00A63103"/>
    <w:rsid w:val="00A63262"/>
    <w:rsid w:val="00A6332C"/>
    <w:rsid w:val="00A63673"/>
    <w:rsid w:val="00A63F2F"/>
    <w:rsid w:val="00A63F31"/>
    <w:rsid w:val="00A646C3"/>
    <w:rsid w:val="00A64898"/>
    <w:rsid w:val="00A64931"/>
    <w:rsid w:val="00A65186"/>
    <w:rsid w:val="00A65445"/>
    <w:rsid w:val="00A6547B"/>
    <w:rsid w:val="00A65685"/>
    <w:rsid w:val="00A65DB7"/>
    <w:rsid w:val="00A65FCC"/>
    <w:rsid w:val="00A66100"/>
    <w:rsid w:val="00A6623F"/>
    <w:rsid w:val="00A66271"/>
    <w:rsid w:val="00A66486"/>
    <w:rsid w:val="00A664A1"/>
    <w:rsid w:val="00A66527"/>
    <w:rsid w:val="00A6705D"/>
    <w:rsid w:val="00A671F4"/>
    <w:rsid w:val="00A67661"/>
    <w:rsid w:val="00A67969"/>
    <w:rsid w:val="00A679EA"/>
    <w:rsid w:val="00A67DD1"/>
    <w:rsid w:val="00A67EA3"/>
    <w:rsid w:val="00A67F14"/>
    <w:rsid w:val="00A67F88"/>
    <w:rsid w:val="00A702E7"/>
    <w:rsid w:val="00A70361"/>
    <w:rsid w:val="00A705F6"/>
    <w:rsid w:val="00A709C0"/>
    <w:rsid w:val="00A70B8B"/>
    <w:rsid w:val="00A70C2A"/>
    <w:rsid w:val="00A7108C"/>
    <w:rsid w:val="00A717BE"/>
    <w:rsid w:val="00A717E2"/>
    <w:rsid w:val="00A718B4"/>
    <w:rsid w:val="00A71942"/>
    <w:rsid w:val="00A719A9"/>
    <w:rsid w:val="00A71DE9"/>
    <w:rsid w:val="00A71F74"/>
    <w:rsid w:val="00A72022"/>
    <w:rsid w:val="00A7208C"/>
    <w:rsid w:val="00A7221D"/>
    <w:rsid w:val="00A72657"/>
    <w:rsid w:val="00A7275A"/>
    <w:rsid w:val="00A72787"/>
    <w:rsid w:val="00A72791"/>
    <w:rsid w:val="00A72860"/>
    <w:rsid w:val="00A7289B"/>
    <w:rsid w:val="00A729C9"/>
    <w:rsid w:val="00A72B9D"/>
    <w:rsid w:val="00A72C15"/>
    <w:rsid w:val="00A73149"/>
    <w:rsid w:val="00A734BB"/>
    <w:rsid w:val="00A73682"/>
    <w:rsid w:val="00A738E5"/>
    <w:rsid w:val="00A73AF3"/>
    <w:rsid w:val="00A73B21"/>
    <w:rsid w:val="00A73B5C"/>
    <w:rsid w:val="00A73F71"/>
    <w:rsid w:val="00A7421C"/>
    <w:rsid w:val="00A744D7"/>
    <w:rsid w:val="00A74595"/>
    <w:rsid w:val="00A7485C"/>
    <w:rsid w:val="00A74B2B"/>
    <w:rsid w:val="00A7531C"/>
    <w:rsid w:val="00A75627"/>
    <w:rsid w:val="00A7594F"/>
    <w:rsid w:val="00A75BEF"/>
    <w:rsid w:val="00A75DB7"/>
    <w:rsid w:val="00A75DD9"/>
    <w:rsid w:val="00A7631E"/>
    <w:rsid w:val="00A7656B"/>
    <w:rsid w:val="00A7660A"/>
    <w:rsid w:val="00A767E6"/>
    <w:rsid w:val="00A7683A"/>
    <w:rsid w:val="00A76D7F"/>
    <w:rsid w:val="00A76D8D"/>
    <w:rsid w:val="00A76DAE"/>
    <w:rsid w:val="00A778A5"/>
    <w:rsid w:val="00A77D63"/>
    <w:rsid w:val="00A77DAF"/>
    <w:rsid w:val="00A8024F"/>
    <w:rsid w:val="00A80257"/>
    <w:rsid w:val="00A80514"/>
    <w:rsid w:val="00A8095A"/>
    <w:rsid w:val="00A81140"/>
    <w:rsid w:val="00A8135C"/>
    <w:rsid w:val="00A816C3"/>
    <w:rsid w:val="00A81741"/>
    <w:rsid w:val="00A81814"/>
    <w:rsid w:val="00A819CB"/>
    <w:rsid w:val="00A81CC2"/>
    <w:rsid w:val="00A81CD0"/>
    <w:rsid w:val="00A820A6"/>
    <w:rsid w:val="00A825C3"/>
    <w:rsid w:val="00A82695"/>
    <w:rsid w:val="00A828BF"/>
    <w:rsid w:val="00A82E8C"/>
    <w:rsid w:val="00A82EB1"/>
    <w:rsid w:val="00A83479"/>
    <w:rsid w:val="00A83655"/>
    <w:rsid w:val="00A83800"/>
    <w:rsid w:val="00A83B53"/>
    <w:rsid w:val="00A83FAB"/>
    <w:rsid w:val="00A8423D"/>
    <w:rsid w:val="00A84479"/>
    <w:rsid w:val="00A849A6"/>
    <w:rsid w:val="00A849D3"/>
    <w:rsid w:val="00A84A42"/>
    <w:rsid w:val="00A84E76"/>
    <w:rsid w:val="00A853BA"/>
    <w:rsid w:val="00A85715"/>
    <w:rsid w:val="00A85D1C"/>
    <w:rsid w:val="00A85F6F"/>
    <w:rsid w:val="00A8617E"/>
    <w:rsid w:val="00A8632C"/>
    <w:rsid w:val="00A86502"/>
    <w:rsid w:val="00A8669D"/>
    <w:rsid w:val="00A871B2"/>
    <w:rsid w:val="00A876A6"/>
    <w:rsid w:val="00A876F3"/>
    <w:rsid w:val="00A879A4"/>
    <w:rsid w:val="00A905AF"/>
    <w:rsid w:val="00A9070C"/>
    <w:rsid w:val="00A90936"/>
    <w:rsid w:val="00A90F4A"/>
    <w:rsid w:val="00A915A7"/>
    <w:rsid w:val="00A9166C"/>
    <w:rsid w:val="00A917F0"/>
    <w:rsid w:val="00A91A8F"/>
    <w:rsid w:val="00A91AAB"/>
    <w:rsid w:val="00A91C6E"/>
    <w:rsid w:val="00A91EA8"/>
    <w:rsid w:val="00A92023"/>
    <w:rsid w:val="00A92038"/>
    <w:rsid w:val="00A920B1"/>
    <w:rsid w:val="00A9255C"/>
    <w:rsid w:val="00A9282D"/>
    <w:rsid w:val="00A92D66"/>
    <w:rsid w:val="00A92FBA"/>
    <w:rsid w:val="00A935CD"/>
    <w:rsid w:val="00A938B7"/>
    <w:rsid w:val="00A93A5C"/>
    <w:rsid w:val="00A93A82"/>
    <w:rsid w:val="00A93CB5"/>
    <w:rsid w:val="00A94238"/>
    <w:rsid w:val="00A942E8"/>
    <w:rsid w:val="00A94AAA"/>
    <w:rsid w:val="00A9506A"/>
    <w:rsid w:val="00A9516B"/>
    <w:rsid w:val="00A95319"/>
    <w:rsid w:val="00A95821"/>
    <w:rsid w:val="00A958D3"/>
    <w:rsid w:val="00A95D3E"/>
    <w:rsid w:val="00A96266"/>
    <w:rsid w:val="00A96442"/>
    <w:rsid w:val="00A96822"/>
    <w:rsid w:val="00A96862"/>
    <w:rsid w:val="00A968A1"/>
    <w:rsid w:val="00A96A61"/>
    <w:rsid w:val="00A97061"/>
    <w:rsid w:val="00A97239"/>
    <w:rsid w:val="00A97ABE"/>
    <w:rsid w:val="00A97DEB"/>
    <w:rsid w:val="00A97F6F"/>
    <w:rsid w:val="00A97F75"/>
    <w:rsid w:val="00AA00D7"/>
    <w:rsid w:val="00AA0195"/>
    <w:rsid w:val="00AA023F"/>
    <w:rsid w:val="00AA04A0"/>
    <w:rsid w:val="00AA0580"/>
    <w:rsid w:val="00AA0603"/>
    <w:rsid w:val="00AA0AE6"/>
    <w:rsid w:val="00AA12DB"/>
    <w:rsid w:val="00AA1448"/>
    <w:rsid w:val="00AA1682"/>
    <w:rsid w:val="00AA16A0"/>
    <w:rsid w:val="00AA1867"/>
    <w:rsid w:val="00AA1DD3"/>
    <w:rsid w:val="00AA2D31"/>
    <w:rsid w:val="00AA2E89"/>
    <w:rsid w:val="00AA3698"/>
    <w:rsid w:val="00AA3B7F"/>
    <w:rsid w:val="00AA3CA5"/>
    <w:rsid w:val="00AA3DB4"/>
    <w:rsid w:val="00AA3FCC"/>
    <w:rsid w:val="00AA4038"/>
    <w:rsid w:val="00AA4799"/>
    <w:rsid w:val="00AA4A30"/>
    <w:rsid w:val="00AA4ADF"/>
    <w:rsid w:val="00AA4E3E"/>
    <w:rsid w:val="00AA537C"/>
    <w:rsid w:val="00AA53F0"/>
    <w:rsid w:val="00AA5485"/>
    <w:rsid w:val="00AA55CB"/>
    <w:rsid w:val="00AA580C"/>
    <w:rsid w:val="00AA5907"/>
    <w:rsid w:val="00AA6014"/>
    <w:rsid w:val="00AA63DE"/>
    <w:rsid w:val="00AA6496"/>
    <w:rsid w:val="00AA66BD"/>
    <w:rsid w:val="00AA674F"/>
    <w:rsid w:val="00AA67C8"/>
    <w:rsid w:val="00AA6B94"/>
    <w:rsid w:val="00AA6CB3"/>
    <w:rsid w:val="00AA6FE3"/>
    <w:rsid w:val="00AA7487"/>
    <w:rsid w:val="00AA7704"/>
    <w:rsid w:val="00AA7945"/>
    <w:rsid w:val="00AB06E3"/>
    <w:rsid w:val="00AB0F2B"/>
    <w:rsid w:val="00AB12A9"/>
    <w:rsid w:val="00AB1659"/>
    <w:rsid w:val="00AB17FD"/>
    <w:rsid w:val="00AB1A12"/>
    <w:rsid w:val="00AB1CF6"/>
    <w:rsid w:val="00AB1ED6"/>
    <w:rsid w:val="00AB20BC"/>
    <w:rsid w:val="00AB20BE"/>
    <w:rsid w:val="00AB21E3"/>
    <w:rsid w:val="00AB23C7"/>
    <w:rsid w:val="00AB24A1"/>
    <w:rsid w:val="00AB2792"/>
    <w:rsid w:val="00AB2906"/>
    <w:rsid w:val="00AB2E96"/>
    <w:rsid w:val="00AB30DE"/>
    <w:rsid w:val="00AB341C"/>
    <w:rsid w:val="00AB3717"/>
    <w:rsid w:val="00AB38EC"/>
    <w:rsid w:val="00AB3A94"/>
    <w:rsid w:val="00AB41BA"/>
    <w:rsid w:val="00AB4372"/>
    <w:rsid w:val="00AB4799"/>
    <w:rsid w:val="00AB4A4C"/>
    <w:rsid w:val="00AB4A9E"/>
    <w:rsid w:val="00AB4DEA"/>
    <w:rsid w:val="00AB4E13"/>
    <w:rsid w:val="00AB4F08"/>
    <w:rsid w:val="00AB500F"/>
    <w:rsid w:val="00AB50A7"/>
    <w:rsid w:val="00AB5169"/>
    <w:rsid w:val="00AB5230"/>
    <w:rsid w:val="00AB5315"/>
    <w:rsid w:val="00AB5478"/>
    <w:rsid w:val="00AB5690"/>
    <w:rsid w:val="00AB5763"/>
    <w:rsid w:val="00AB5A6C"/>
    <w:rsid w:val="00AB5E27"/>
    <w:rsid w:val="00AB5FFF"/>
    <w:rsid w:val="00AB65B7"/>
    <w:rsid w:val="00AB6D91"/>
    <w:rsid w:val="00AB7682"/>
    <w:rsid w:val="00AB7A01"/>
    <w:rsid w:val="00AB7E74"/>
    <w:rsid w:val="00AB7EBA"/>
    <w:rsid w:val="00AC00F2"/>
    <w:rsid w:val="00AC014F"/>
    <w:rsid w:val="00AC03C9"/>
    <w:rsid w:val="00AC03F8"/>
    <w:rsid w:val="00AC094D"/>
    <w:rsid w:val="00AC0B2F"/>
    <w:rsid w:val="00AC0BA8"/>
    <w:rsid w:val="00AC0CAB"/>
    <w:rsid w:val="00AC17E8"/>
    <w:rsid w:val="00AC1828"/>
    <w:rsid w:val="00AC1DFA"/>
    <w:rsid w:val="00AC2063"/>
    <w:rsid w:val="00AC230B"/>
    <w:rsid w:val="00AC241F"/>
    <w:rsid w:val="00AC25D1"/>
    <w:rsid w:val="00AC26D2"/>
    <w:rsid w:val="00AC2729"/>
    <w:rsid w:val="00AC2769"/>
    <w:rsid w:val="00AC2A16"/>
    <w:rsid w:val="00AC2E9F"/>
    <w:rsid w:val="00AC2F51"/>
    <w:rsid w:val="00AC2F54"/>
    <w:rsid w:val="00AC31EC"/>
    <w:rsid w:val="00AC3684"/>
    <w:rsid w:val="00AC36CE"/>
    <w:rsid w:val="00AC3BD5"/>
    <w:rsid w:val="00AC3D80"/>
    <w:rsid w:val="00AC4662"/>
    <w:rsid w:val="00AC4751"/>
    <w:rsid w:val="00AC47A0"/>
    <w:rsid w:val="00AC4B96"/>
    <w:rsid w:val="00AC4CD5"/>
    <w:rsid w:val="00AC4DE7"/>
    <w:rsid w:val="00AC5941"/>
    <w:rsid w:val="00AC5A19"/>
    <w:rsid w:val="00AC66B7"/>
    <w:rsid w:val="00AC67F2"/>
    <w:rsid w:val="00AC6850"/>
    <w:rsid w:val="00AC6966"/>
    <w:rsid w:val="00AC69E6"/>
    <w:rsid w:val="00AC6AF7"/>
    <w:rsid w:val="00AC6B32"/>
    <w:rsid w:val="00AC6B46"/>
    <w:rsid w:val="00AC6B7F"/>
    <w:rsid w:val="00AC6E1F"/>
    <w:rsid w:val="00AC716A"/>
    <w:rsid w:val="00AC7570"/>
    <w:rsid w:val="00AC7A2D"/>
    <w:rsid w:val="00AC7E90"/>
    <w:rsid w:val="00AD00FD"/>
    <w:rsid w:val="00AD0126"/>
    <w:rsid w:val="00AD014E"/>
    <w:rsid w:val="00AD0160"/>
    <w:rsid w:val="00AD0642"/>
    <w:rsid w:val="00AD0FF0"/>
    <w:rsid w:val="00AD11FC"/>
    <w:rsid w:val="00AD1765"/>
    <w:rsid w:val="00AD204D"/>
    <w:rsid w:val="00AD2386"/>
    <w:rsid w:val="00AD28D5"/>
    <w:rsid w:val="00AD2B25"/>
    <w:rsid w:val="00AD2F82"/>
    <w:rsid w:val="00AD3F8D"/>
    <w:rsid w:val="00AD410E"/>
    <w:rsid w:val="00AD411B"/>
    <w:rsid w:val="00AD41E7"/>
    <w:rsid w:val="00AD4347"/>
    <w:rsid w:val="00AD43AE"/>
    <w:rsid w:val="00AD4CF3"/>
    <w:rsid w:val="00AD5210"/>
    <w:rsid w:val="00AD5AA3"/>
    <w:rsid w:val="00AD6058"/>
    <w:rsid w:val="00AD60F5"/>
    <w:rsid w:val="00AD66D0"/>
    <w:rsid w:val="00AD6C5B"/>
    <w:rsid w:val="00AD6C96"/>
    <w:rsid w:val="00AD7045"/>
    <w:rsid w:val="00AD75C6"/>
    <w:rsid w:val="00AD7611"/>
    <w:rsid w:val="00AD7D33"/>
    <w:rsid w:val="00AE0222"/>
    <w:rsid w:val="00AE02A1"/>
    <w:rsid w:val="00AE0455"/>
    <w:rsid w:val="00AE0849"/>
    <w:rsid w:val="00AE088A"/>
    <w:rsid w:val="00AE0B2D"/>
    <w:rsid w:val="00AE0BF3"/>
    <w:rsid w:val="00AE0ED4"/>
    <w:rsid w:val="00AE0F29"/>
    <w:rsid w:val="00AE1186"/>
    <w:rsid w:val="00AE125D"/>
    <w:rsid w:val="00AE17AB"/>
    <w:rsid w:val="00AE1C85"/>
    <w:rsid w:val="00AE2E05"/>
    <w:rsid w:val="00AE2E98"/>
    <w:rsid w:val="00AE33C7"/>
    <w:rsid w:val="00AE355A"/>
    <w:rsid w:val="00AE38BD"/>
    <w:rsid w:val="00AE3BA9"/>
    <w:rsid w:val="00AE3D0B"/>
    <w:rsid w:val="00AE3E46"/>
    <w:rsid w:val="00AE3F91"/>
    <w:rsid w:val="00AE4034"/>
    <w:rsid w:val="00AE441A"/>
    <w:rsid w:val="00AE4512"/>
    <w:rsid w:val="00AE49D0"/>
    <w:rsid w:val="00AE4C17"/>
    <w:rsid w:val="00AE55D5"/>
    <w:rsid w:val="00AE5AF3"/>
    <w:rsid w:val="00AE5BD7"/>
    <w:rsid w:val="00AE5FD9"/>
    <w:rsid w:val="00AE606A"/>
    <w:rsid w:val="00AE63AD"/>
    <w:rsid w:val="00AE7182"/>
    <w:rsid w:val="00AE7311"/>
    <w:rsid w:val="00AE7548"/>
    <w:rsid w:val="00AE779A"/>
    <w:rsid w:val="00AE7940"/>
    <w:rsid w:val="00AE7BA8"/>
    <w:rsid w:val="00AE7FFA"/>
    <w:rsid w:val="00AF0C2F"/>
    <w:rsid w:val="00AF0CB2"/>
    <w:rsid w:val="00AF106A"/>
    <w:rsid w:val="00AF10AA"/>
    <w:rsid w:val="00AF13A3"/>
    <w:rsid w:val="00AF15E6"/>
    <w:rsid w:val="00AF199F"/>
    <w:rsid w:val="00AF1DB9"/>
    <w:rsid w:val="00AF1F23"/>
    <w:rsid w:val="00AF1F53"/>
    <w:rsid w:val="00AF229B"/>
    <w:rsid w:val="00AF2589"/>
    <w:rsid w:val="00AF25BB"/>
    <w:rsid w:val="00AF2F1B"/>
    <w:rsid w:val="00AF2F42"/>
    <w:rsid w:val="00AF2F9F"/>
    <w:rsid w:val="00AF31EE"/>
    <w:rsid w:val="00AF33EB"/>
    <w:rsid w:val="00AF367A"/>
    <w:rsid w:val="00AF3892"/>
    <w:rsid w:val="00AF3EC7"/>
    <w:rsid w:val="00AF430A"/>
    <w:rsid w:val="00AF437C"/>
    <w:rsid w:val="00AF4594"/>
    <w:rsid w:val="00AF4A19"/>
    <w:rsid w:val="00AF4B66"/>
    <w:rsid w:val="00AF4EB6"/>
    <w:rsid w:val="00AF5085"/>
    <w:rsid w:val="00AF5279"/>
    <w:rsid w:val="00AF537C"/>
    <w:rsid w:val="00AF5628"/>
    <w:rsid w:val="00AF5732"/>
    <w:rsid w:val="00AF5878"/>
    <w:rsid w:val="00AF5A8F"/>
    <w:rsid w:val="00AF5ABF"/>
    <w:rsid w:val="00AF5ECC"/>
    <w:rsid w:val="00AF6613"/>
    <w:rsid w:val="00AF671A"/>
    <w:rsid w:val="00AF6842"/>
    <w:rsid w:val="00AF68BD"/>
    <w:rsid w:val="00AF6C58"/>
    <w:rsid w:val="00AF6CF5"/>
    <w:rsid w:val="00AF7505"/>
    <w:rsid w:val="00AF7826"/>
    <w:rsid w:val="00AF7B4A"/>
    <w:rsid w:val="00B0010D"/>
    <w:rsid w:val="00B00237"/>
    <w:rsid w:val="00B0034E"/>
    <w:rsid w:val="00B004FD"/>
    <w:rsid w:val="00B00811"/>
    <w:rsid w:val="00B00C8E"/>
    <w:rsid w:val="00B011EB"/>
    <w:rsid w:val="00B01687"/>
    <w:rsid w:val="00B01891"/>
    <w:rsid w:val="00B018D2"/>
    <w:rsid w:val="00B01D0E"/>
    <w:rsid w:val="00B01E44"/>
    <w:rsid w:val="00B01E6E"/>
    <w:rsid w:val="00B01E71"/>
    <w:rsid w:val="00B0219F"/>
    <w:rsid w:val="00B026B6"/>
    <w:rsid w:val="00B02C69"/>
    <w:rsid w:val="00B032A0"/>
    <w:rsid w:val="00B034B6"/>
    <w:rsid w:val="00B03AAF"/>
    <w:rsid w:val="00B03B17"/>
    <w:rsid w:val="00B03D14"/>
    <w:rsid w:val="00B03F99"/>
    <w:rsid w:val="00B04160"/>
    <w:rsid w:val="00B04174"/>
    <w:rsid w:val="00B044A3"/>
    <w:rsid w:val="00B04678"/>
    <w:rsid w:val="00B04812"/>
    <w:rsid w:val="00B04C80"/>
    <w:rsid w:val="00B04F98"/>
    <w:rsid w:val="00B05334"/>
    <w:rsid w:val="00B053DB"/>
    <w:rsid w:val="00B05698"/>
    <w:rsid w:val="00B05A06"/>
    <w:rsid w:val="00B05BD9"/>
    <w:rsid w:val="00B05F4D"/>
    <w:rsid w:val="00B060DC"/>
    <w:rsid w:val="00B06361"/>
    <w:rsid w:val="00B0671C"/>
    <w:rsid w:val="00B06757"/>
    <w:rsid w:val="00B06B39"/>
    <w:rsid w:val="00B06E53"/>
    <w:rsid w:val="00B06F96"/>
    <w:rsid w:val="00B07083"/>
    <w:rsid w:val="00B0719B"/>
    <w:rsid w:val="00B1048D"/>
    <w:rsid w:val="00B10496"/>
    <w:rsid w:val="00B10CFF"/>
    <w:rsid w:val="00B10DD3"/>
    <w:rsid w:val="00B10E59"/>
    <w:rsid w:val="00B11603"/>
    <w:rsid w:val="00B118F5"/>
    <w:rsid w:val="00B11C4B"/>
    <w:rsid w:val="00B11DFD"/>
    <w:rsid w:val="00B11F21"/>
    <w:rsid w:val="00B12E1D"/>
    <w:rsid w:val="00B12E75"/>
    <w:rsid w:val="00B13591"/>
    <w:rsid w:val="00B135F4"/>
    <w:rsid w:val="00B13602"/>
    <w:rsid w:val="00B138BB"/>
    <w:rsid w:val="00B13ABF"/>
    <w:rsid w:val="00B13D3F"/>
    <w:rsid w:val="00B13DE1"/>
    <w:rsid w:val="00B13FA0"/>
    <w:rsid w:val="00B14017"/>
    <w:rsid w:val="00B140FC"/>
    <w:rsid w:val="00B141E7"/>
    <w:rsid w:val="00B1456C"/>
    <w:rsid w:val="00B14998"/>
    <w:rsid w:val="00B154EF"/>
    <w:rsid w:val="00B15D25"/>
    <w:rsid w:val="00B1622B"/>
    <w:rsid w:val="00B162E2"/>
    <w:rsid w:val="00B169EF"/>
    <w:rsid w:val="00B16E50"/>
    <w:rsid w:val="00B175E4"/>
    <w:rsid w:val="00B17684"/>
    <w:rsid w:val="00B17913"/>
    <w:rsid w:val="00B17A34"/>
    <w:rsid w:val="00B17B08"/>
    <w:rsid w:val="00B20013"/>
    <w:rsid w:val="00B20ABB"/>
    <w:rsid w:val="00B20F14"/>
    <w:rsid w:val="00B20F2C"/>
    <w:rsid w:val="00B210EC"/>
    <w:rsid w:val="00B21BEB"/>
    <w:rsid w:val="00B21D1C"/>
    <w:rsid w:val="00B221A5"/>
    <w:rsid w:val="00B225F8"/>
    <w:rsid w:val="00B226E1"/>
    <w:rsid w:val="00B22ACF"/>
    <w:rsid w:val="00B22AEE"/>
    <w:rsid w:val="00B22B83"/>
    <w:rsid w:val="00B22EE5"/>
    <w:rsid w:val="00B23431"/>
    <w:rsid w:val="00B23890"/>
    <w:rsid w:val="00B238CE"/>
    <w:rsid w:val="00B239F1"/>
    <w:rsid w:val="00B2479C"/>
    <w:rsid w:val="00B252C2"/>
    <w:rsid w:val="00B25A82"/>
    <w:rsid w:val="00B25ABA"/>
    <w:rsid w:val="00B25E4E"/>
    <w:rsid w:val="00B26929"/>
    <w:rsid w:val="00B26DC2"/>
    <w:rsid w:val="00B27795"/>
    <w:rsid w:val="00B30391"/>
    <w:rsid w:val="00B30449"/>
    <w:rsid w:val="00B30522"/>
    <w:rsid w:val="00B3083D"/>
    <w:rsid w:val="00B30A23"/>
    <w:rsid w:val="00B30A80"/>
    <w:rsid w:val="00B30AAC"/>
    <w:rsid w:val="00B30BB9"/>
    <w:rsid w:val="00B30C29"/>
    <w:rsid w:val="00B30F46"/>
    <w:rsid w:val="00B31087"/>
    <w:rsid w:val="00B310BB"/>
    <w:rsid w:val="00B3132C"/>
    <w:rsid w:val="00B31446"/>
    <w:rsid w:val="00B31762"/>
    <w:rsid w:val="00B31B55"/>
    <w:rsid w:val="00B31B67"/>
    <w:rsid w:val="00B31DF1"/>
    <w:rsid w:val="00B31F7D"/>
    <w:rsid w:val="00B31FA5"/>
    <w:rsid w:val="00B3249B"/>
    <w:rsid w:val="00B325D3"/>
    <w:rsid w:val="00B331E7"/>
    <w:rsid w:val="00B33604"/>
    <w:rsid w:val="00B336D0"/>
    <w:rsid w:val="00B33A58"/>
    <w:rsid w:val="00B33C18"/>
    <w:rsid w:val="00B33DCE"/>
    <w:rsid w:val="00B33F2B"/>
    <w:rsid w:val="00B33F36"/>
    <w:rsid w:val="00B3465D"/>
    <w:rsid w:val="00B348D8"/>
    <w:rsid w:val="00B350C0"/>
    <w:rsid w:val="00B35111"/>
    <w:rsid w:val="00B357CB"/>
    <w:rsid w:val="00B35C2F"/>
    <w:rsid w:val="00B35DB6"/>
    <w:rsid w:val="00B36863"/>
    <w:rsid w:val="00B36925"/>
    <w:rsid w:val="00B36977"/>
    <w:rsid w:val="00B36A1C"/>
    <w:rsid w:val="00B36B89"/>
    <w:rsid w:val="00B36F57"/>
    <w:rsid w:val="00B36F8B"/>
    <w:rsid w:val="00B3723C"/>
    <w:rsid w:val="00B373C2"/>
    <w:rsid w:val="00B37406"/>
    <w:rsid w:val="00B376E3"/>
    <w:rsid w:val="00B376EC"/>
    <w:rsid w:val="00B37A4A"/>
    <w:rsid w:val="00B37E05"/>
    <w:rsid w:val="00B405E5"/>
    <w:rsid w:val="00B40795"/>
    <w:rsid w:val="00B40A2D"/>
    <w:rsid w:val="00B41680"/>
    <w:rsid w:val="00B417DA"/>
    <w:rsid w:val="00B41E64"/>
    <w:rsid w:val="00B41F63"/>
    <w:rsid w:val="00B4218F"/>
    <w:rsid w:val="00B424F8"/>
    <w:rsid w:val="00B4267D"/>
    <w:rsid w:val="00B426F4"/>
    <w:rsid w:val="00B4292E"/>
    <w:rsid w:val="00B42A89"/>
    <w:rsid w:val="00B4316C"/>
    <w:rsid w:val="00B4319B"/>
    <w:rsid w:val="00B433E8"/>
    <w:rsid w:val="00B43585"/>
    <w:rsid w:val="00B43D70"/>
    <w:rsid w:val="00B43F7E"/>
    <w:rsid w:val="00B442FB"/>
    <w:rsid w:val="00B44C52"/>
    <w:rsid w:val="00B44EC3"/>
    <w:rsid w:val="00B45328"/>
    <w:rsid w:val="00B453A1"/>
    <w:rsid w:val="00B453E7"/>
    <w:rsid w:val="00B454C8"/>
    <w:rsid w:val="00B4637B"/>
    <w:rsid w:val="00B46384"/>
    <w:rsid w:val="00B4646E"/>
    <w:rsid w:val="00B46C66"/>
    <w:rsid w:val="00B46E64"/>
    <w:rsid w:val="00B46F94"/>
    <w:rsid w:val="00B46FC1"/>
    <w:rsid w:val="00B470E4"/>
    <w:rsid w:val="00B47500"/>
    <w:rsid w:val="00B4771A"/>
    <w:rsid w:val="00B4779E"/>
    <w:rsid w:val="00B50470"/>
    <w:rsid w:val="00B504E4"/>
    <w:rsid w:val="00B506CA"/>
    <w:rsid w:val="00B510F9"/>
    <w:rsid w:val="00B513CA"/>
    <w:rsid w:val="00B51494"/>
    <w:rsid w:val="00B51B2B"/>
    <w:rsid w:val="00B51C67"/>
    <w:rsid w:val="00B51C7D"/>
    <w:rsid w:val="00B51D68"/>
    <w:rsid w:val="00B5228F"/>
    <w:rsid w:val="00B527E0"/>
    <w:rsid w:val="00B52F49"/>
    <w:rsid w:val="00B5338D"/>
    <w:rsid w:val="00B53850"/>
    <w:rsid w:val="00B53A6B"/>
    <w:rsid w:val="00B54079"/>
    <w:rsid w:val="00B54326"/>
    <w:rsid w:val="00B54C42"/>
    <w:rsid w:val="00B551D5"/>
    <w:rsid w:val="00B55319"/>
    <w:rsid w:val="00B55370"/>
    <w:rsid w:val="00B555B1"/>
    <w:rsid w:val="00B55678"/>
    <w:rsid w:val="00B5579B"/>
    <w:rsid w:val="00B55A8D"/>
    <w:rsid w:val="00B55BD7"/>
    <w:rsid w:val="00B56091"/>
    <w:rsid w:val="00B560BF"/>
    <w:rsid w:val="00B56AC2"/>
    <w:rsid w:val="00B56BF1"/>
    <w:rsid w:val="00B56DD7"/>
    <w:rsid w:val="00B56DD8"/>
    <w:rsid w:val="00B57848"/>
    <w:rsid w:val="00B57CC2"/>
    <w:rsid w:val="00B57CF9"/>
    <w:rsid w:val="00B57D04"/>
    <w:rsid w:val="00B57E57"/>
    <w:rsid w:val="00B6014D"/>
    <w:rsid w:val="00B60731"/>
    <w:rsid w:val="00B60921"/>
    <w:rsid w:val="00B60C41"/>
    <w:rsid w:val="00B60DFB"/>
    <w:rsid w:val="00B61417"/>
    <w:rsid w:val="00B61625"/>
    <w:rsid w:val="00B617A4"/>
    <w:rsid w:val="00B6229D"/>
    <w:rsid w:val="00B624F0"/>
    <w:rsid w:val="00B62542"/>
    <w:rsid w:val="00B62963"/>
    <w:rsid w:val="00B63CF4"/>
    <w:rsid w:val="00B64345"/>
    <w:rsid w:val="00B64B18"/>
    <w:rsid w:val="00B64C39"/>
    <w:rsid w:val="00B64F54"/>
    <w:rsid w:val="00B654F9"/>
    <w:rsid w:val="00B65782"/>
    <w:rsid w:val="00B6687B"/>
    <w:rsid w:val="00B66E74"/>
    <w:rsid w:val="00B66FB2"/>
    <w:rsid w:val="00B6706C"/>
    <w:rsid w:val="00B70809"/>
    <w:rsid w:val="00B708A6"/>
    <w:rsid w:val="00B70D5F"/>
    <w:rsid w:val="00B70E6F"/>
    <w:rsid w:val="00B70F6E"/>
    <w:rsid w:val="00B71274"/>
    <w:rsid w:val="00B715DF"/>
    <w:rsid w:val="00B7265D"/>
    <w:rsid w:val="00B7273C"/>
    <w:rsid w:val="00B72868"/>
    <w:rsid w:val="00B72F13"/>
    <w:rsid w:val="00B734CF"/>
    <w:rsid w:val="00B739FB"/>
    <w:rsid w:val="00B73CF1"/>
    <w:rsid w:val="00B73D2C"/>
    <w:rsid w:val="00B73ED7"/>
    <w:rsid w:val="00B73EEA"/>
    <w:rsid w:val="00B741B8"/>
    <w:rsid w:val="00B741E0"/>
    <w:rsid w:val="00B74855"/>
    <w:rsid w:val="00B74B9D"/>
    <w:rsid w:val="00B75434"/>
    <w:rsid w:val="00B75702"/>
    <w:rsid w:val="00B7579A"/>
    <w:rsid w:val="00B75802"/>
    <w:rsid w:val="00B76256"/>
    <w:rsid w:val="00B76577"/>
    <w:rsid w:val="00B76BCB"/>
    <w:rsid w:val="00B76D7C"/>
    <w:rsid w:val="00B77109"/>
    <w:rsid w:val="00B77307"/>
    <w:rsid w:val="00B800E9"/>
    <w:rsid w:val="00B800F2"/>
    <w:rsid w:val="00B80104"/>
    <w:rsid w:val="00B80121"/>
    <w:rsid w:val="00B80450"/>
    <w:rsid w:val="00B80723"/>
    <w:rsid w:val="00B808D1"/>
    <w:rsid w:val="00B808F3"/>
    <w:rsid w:val="00B80D42"/>
    <w:rsid w:val="00B81053"/>
    <w:rsid w:val="00B812FF"/>
    <w:rsid w:val="00B81341"/>
    <w:rsid w:val="00B81719"/>
    <w:rsid w:val="00B81AB0"/>
    <w:rsid w:val="00B81B10"/>
    <w:rsid w:val="00B81D51"/>
    <w:rsid w:val="00B820A8"/>
    <w:rsid w:val="00B820E3"/>
    <w:rsid w:val="00B8246D"/>
    <w:rsid w:val="00B8265D"/>
    <w:rsid w:val="00B82927"/>
    <w:rsid w:val="00B82F7D"/>
    <w:rsid w:val="00B8317F"/>
    <w:rsid w:val="00B83EDA"/>
    <w:rsid w:val="00B8402D"/>
    <w:rsid w:val="00B84053"/>
    <w:rsid w:val="00B843AC"/>
    <w:rsid w:val="00B84445"/>
    <w:rsid w:val="00B84454"/>
    <w:rsid w:val="00B84C4D"/>
    <w:rsid w:val="00B84EAC"/>
    <w:rsid w:val="00B852A7"/>
    <w:rsid w:val="00B85976"/>
    <w:rsid w:val="00B85A31"/>
    <w:rsid w:val="00B85AB7"/>
    <w:rsid w:val="00B86183"/>
    <w:rsid w:val="00B864B0"/>
    <w:rsid w:val="00B86643"/>
    <w:rsid w:val="00B866AA"/>
    <w:rsid w:val="00B86AAC"/>
    <w:rsid w:val="00B86BF6"/>
    <w:rsid w:val="00B87AF8"/>
    <w:rsid w:val="00B90538"/>
    <w:rsid w:val="00B907BA"/>
    <w:rsid w:val="00B90A02"/>
    <w:rsid w:val="00B90F93"/>
    <w:rsid w:val="00B910A3"/>
    <w:rsid w:val="00B917CF"/>
    <w:rsid w:val="00B91B87"/>
    <w:rsid w:val="00B91EC9"/>
    <w:rsid w:val="00B92402"/>
    <w:rsid w:val="00B92FFF"/>
    <w:rsid w:val="00B9310D"/>
    <w:rsid w:val="00B9318D"/>
    <w:rsid w:val="00B939C0"/>
    <w:rsid w:val="00B93C63"/>
    <w:rsid w:val="00B93CBA"/>
    <w:rsid w:val="00B93DE8"/>
    <w:rsid w:val="00B93F5B"/>
    <w:rsid w:val="00B93FE7"/>
    <w:rsid w:val="00B942B2"/>
    <w:rsid w:val="00B947FE"/>
    <w:rsid w:val="00B94888"/>
    <w:rsid w:val="00B948A2"/>
    <w:rsid w:val="00B94B29"/>
    <w:rsid w:val="00B94DED"/>
    <w:rsid w:val="00B9503F"/>
    <w:rsid w:val="00B953F6"/>
    <w:rsid w:val="00B9554E"/>
    <w:rsid w:val="00B95764"/>
    <w:rsid w:val="00B957AD"/>
    <w:rsid w:val="00B96433"/>
    <w:rsid w:val="00B9655F"/>
    <w:rsid w:val="00B968C0"/>
    <w:rsid w:val="00B979F3"/>
    <w:rsid w:val="00B97E49"/>
    <w:rsid w:val="00B97F89"/>
    <w:rsid w:val="00BA0143"/>
    <w:rsid w:val="00BA0216"/>
    <w:rsid w:val="00BA0339"/>
    <w:rsid w:val="00BA045C"/>
    <w:rsid w:val="00BA07D8"/>
    <w:rsid w:val="00BA0B2F"/>
    <w:rsid w:val="00BA0B50"/>
    <w:rsid w:val="00BA0BAE"/>
    <w:rsid w:val="00BA0C2A"/>
    <w:rsid w:val="00BA0E56"/>
    <w:rsid w:val="00BA0E90"/>
    <w:rsid w:val="00BA0EE7"/>
    <w:rsid w:val="00BA1004"/>
    <w:rsid w:val="00BA110E"/>
    <w:rsid w:val="00BA11C6"/>
    <w:rsid w:val="00BA121B"/>
    <w:rsid w:val="00BA12F1"/>
    <w:rsid w:val="00BA1BE2"/>
    <w:rsid w:val="00BA1E9A"/>
    <w:rsid w:val="00BA2804"/>
    <w:rsid w:val="00BA2A8B"/>
    <w:rsid w:val="00BA2BA4"/>
    <w:rsid w:val="00BA2BE5"/>
    <w:rsid w:val="00BA2D12"/>
    <w:rsid w:val="00BA2DE5"/>
    <w:rsid w:val="00BA3023"/>
    <w:rsid w:val="00BA33CF"/>
    <w:rsid w:val="00BA3490"/>
    <w:rsid w:val="00BA3553"/>
    <w:rsid w:val="00BA39D4"/>
    <w:rsid w:val="00BA3BE8"/>
    <w:rsid w:val="00BA3DF8"/>
    <w:rsid w:val="00BA3ED5"/>
    <w:rsid w:val="00BA46DE"/>
    <w:rsid w:val="00BA484E"/>
    <w:rsid w:val="00BA4B59"/>
    <w:rsid w:val="00BA4DEF"/>
    <w:rsid w:val="00BA4E8C"/>
    <w:rsid w:val="00BA4EE6"/>
    <w:rsid w:val="00BA5074"/>
    <w:rsid w:val="00BA50E2"/>
    <w:rsid w:val="00BA515A"/>
    <w:rsid w:val="00BA516A"/>
    <w:rsid w:val="00BA52C0"/>
    <w:rsid w:val="00BA5354"/>
    <w:rsid w:val="00BA5871"/>
    <w:rsid w:val="00BA61FF"/>
    <w:rsid w:val="00BA62E7"/>
    <w:rsid w:val="00BA636D"/>
    <w:rsid w:val="00BA6473"/>
    <w:rsid w:val="00BA6555"/>
    <w:rsid w:val="00BA6C23"/>
    <w:rsid w:val="00BA6D5C"/>
    <w:rsid w:val="00BA6F7B"/>
    <w:rsid w:val="00BA7126"/>
    <w:rsid w:val="00BA736C"/>
    <w:rsid w:val="00BA73B4"/>
    <w:rsid w:val="00BA7406"/>
    <w:rsid w:val="00BA7733"/>
    <w:rsid w:val="00BA77DC"/>
    <w:rsid w:val="00BA7993"/>
    <w:rsid w:val="00BA7BD2"/>
    <w:rsid w:val="00BA7D86"/>
    <w:rsid w:val="00BB00D7"/>
    <w:rsid w:val="00BB013A"/>
    <w:rsid w:val="00BB02DE"/>
    <w:rsid w:val="00BB036D"/>
    <w:rsid w:val="00BB0573"/>
    <w:rsid w:val="00BB11E7"/>
    <w:rsid w:val="00BB120D"/>
    <w:rsid w:val="00BB2555"/>
    <w:rsid w:val="00BB28BC"/>
    <w:rsid w:val="00BB2A3D"/>
    <w:rsid w:val="00BB2AAF"/>
    <w:rsid w:val="00BB2EC5"/>
    <w:rsid w:val="00BB2EFE"/>
    <w:rsid w:val="00BB309C"/>
    <w:rsid w:val="00BB3268"/>
    <w:rsid w:val="00BB32AE"/>
    <w:rsid w:val="00BB3CEC"/>
    <w:rsid w:val="00BB40F7"/>
    <w:rsid w:val="00BB4156"/>
    <w:rsid w:val="00BB41E6"/>
    <w:rsid w:val="00BB43C4"/>
    <w:rsid w:val="00BB43D6"/>
    <w:rsid w:val="00BB45FF"/>
    <w:rsid w:val="00BB46E5"/>
    <w:rsid w:val="00BB48F3"/>
    <w:rsid w:val="00BB5597"/>
    <w:rsid w:val="00BB595D"/>
    <w:rsid w:val="00BB5F82"/>
    <w:rsid w:val="00BB6012"/>
    <w:rsid w:val="00BB6524"/>
    <w:rsid w:val="00BB65C2"/>
    <w:rsid w:val="00BB67A7"/>
    <w:rsid w:val="00BB67FF"/>
    <w:rsid w:val="00BB6B8E"/>
    <w:rsid w:val="00BB73CD"/>
    <w:rsid w:val="00BC0199"/>
    <w:rsid w:val="00BC0257"/>
    <w:rsid w:val="00BC038E"/>
    <w:rsid w:val="00BC07C0"/>
    <w:rsid w:val="00BC1098"/>
    <w:rsid w:val="00BC1B1C"/>
    <w:rsid w:val="00BC1B33"/>
    <w:rsid w:val="00BC1B9B"/>
    <w:rsid w:val="00BC2105"/>
    <w:rsid w:val="00BC2735"/>
    <w:rsid w:val="00BC284E"/>
    <w:rsid w:val="00BC2986"/>
    <w:rsid w:val="00BC2C4E"/>
    <w:rsid w:val="00BC2C6E"/>
    <w:rsid w:val="00BC2D1A"/>
    <w:rsid w:val="00BC2D20"/>
    <w:rsid w:val="00BC2E50"/>
    <w:rsid w:val="00BC2E71"/>
    <w:rsid w:val="00BC2FB9"/>
    <w:rsid w:val="00BC31C1"/>
    <w:rsid w:val="00BC38AE"/>
    <w:rsid w:val="00BC397A"/>
    <w:rsid w:val="00BC3E55"/>
    <w:rsid w:val="00BC4055"/>
    <w:rsid w:val="00BC4199"/>
    <w:rsid w:val="00BC45DD"/>
    <w:rsid w:val="00BC4AD4"/>
    <w:rsid w:val="00BC4DB1"/>
    <w:rsid w:val="00BC4E17"/>
    <w:rsid w:val="00BC5C7A"/>
    <w:rsid w:val="00BC5EE4"/>
    <w:rsid w:val="00BC62A0"/>
    <w:rsid w:val="00BC63D5"/>
    <w:rsid w:val="00BC6628"/>
    <w:rsid w:val="00BC66CC"/>
    <w:rsid w:val="00BC7093"/>
    <w:rsid w:val="00BC74C5"/>
    <w:rsid w:val="00BC7C1F"/>
    <w:rsid w:val="00BC7D83"/>
    <w:rsid w:val="00BD0334"/>
    <w:rsid w:val="00BD0636"/>
    <w:rsid w:val="00BD06C2"/>
    <w:rsid w:val="00BD0750"/>
    <w:rsid w:val="00BD081F"/>
    <w:rsid w:val="00BD0F85"/>
    <w:rsid w:val="00BD1574"/>
    <w:rsid w:val="00BD1777"/>
    <w:rsid w:val="00BD1883"/>
    <w:rsid w:val="00BD201F"/>
    <w:rsid w:val="00BD264B"/>
    <w:rsid w:val="00BD27DF"/>
    <w:rsid w:val="00BD27F6"/>
    <w:rsid w:val="00BD2856"/>
    <w:rsid w:val="00BD2B21"/>
    <w:rsid w:val="00BD2DEE"/>
    <w:rsid w:val="00BD2FC6"/>
    <w:rsid w:val="00BD2FEC"/>
    <w:rsid w:val="00BD3188"/>
    <w:rsid w:val="00BD32AA"/>
    <w:rsid w:val="00BD3636"/>
    <w:rsid w:val="00BD3AF0"/>
    <w:rsid w:val="00BD408F"/>
    <w:rsid w:val="00BD44BB"/>
    <w:rsid w:val="00BD45AA"/>
    <w:rsid w:val="00BD45B8"/>
    <w:rsid w:val="00BD46A7"/>
    <w:rsid w:val="00BD4775"/>
    <w:rsid w:val="00BD4F03"/>
    <w:rsid w:val="00BD5AAE"/>
    <w:rsid w:val="00BD5C32"/>
    <w:rsid w:val="00BD5DEC"/>
    <w:rsid w:val="00BD5DF6"/>
    <w:rsid w:val="00BD639E"/>
    <w:rsid w:val="00BD68F2"/>
    <w:rsid w:val="00BD6CE4"/>
    <w:rsid w:val="00BD722A"/>
    <w:rsid w:val="00BD7344"/>
    <w:rsid w:val="00BD75F0"/>
    <w:rsid w:val="00BD76AE"/>
    <w:rsid w:val="00BD77DA"/>
    <w:rsid w:val="00BD78DB"/>
    <w:rsid w:val="00BD7992"/>
    <w:rsid w:val="00BD7B53"/>
    <w:rsid w:val="00BD7E80"/>
    <w:rsid w:val="00BD7F15"/>
    <w:rsid w:val="00BE0098"/>
    <w:rsid w:val="00BE02E8"/>
    <w:rsid w:val="00BE0D11"/>
    <w:rsid w:val="00BE0E0F"/>
    <w:rsid w:val="00BE1A24"/>
    <w:rsid w:val="00BE1C0B"/>
    <w:rsid w:val="00BE1CA9"/>
    <w:rsid w:val="00BE1D4E"/>
    <w:rsid w:val="00BE1E91"/>
    <w:rsid w:val="00BE1F34"/>
    <w:rsid w:val="00BE2632"/>
    <w:rsid w:val="00BE2B0C"/>
    <w:rsid w:val="00BE2BF5"/>
    <w:rsid w:val="00BE2C94"/>
    <w:rsid w:val="00BE2D25"/>
    <w:rsid w:val="00BE3392"/>
    <w:rsid w:val="00BE3F3B"/>
    <w:rsid w:val="00BE4656"/>
    <w:rsid w:val="00BE55C8"/>
    <w:rsid w:val="00BE5604"/>
    <w:rsid w:val="00BE56A3"/>
    <w:rsid w:val="00BE5818"/>
    <w:rsid w:val="00BE585B"/>
    <w:rsid w:val="00BE5E77"/>
    <w:rsid w:val="00BE5EEE"/>
    <w:rsid w:val="00BE6139"/>
    <w:rsid w:val="00BE6401"/>
    <w:rsid w:val="00BE658F"/>
    <w:rsid w:val="00BE673C"/>
    <w:rsid w:val="00BE6A51"/>
    <w:rsid w:val="00BE745C"/>
    <w:rsid w:val="00BE7485"/>
    <w:rsid w:val="00BE74DC"/>
    <w:rsid w:val="00BF0078"/>
    <w:rsid w:val="00BF008B"/>
    <w:rsid w:val="00BF00A8"/>
    <w:rsid w:val="00BF01C2"/>
    <w:rsid w:val="00BF0217"/>
    <w:rsid w:val="00BF02A7"/>
    <w:rsid w:val="00BF0616"/>
    <w:rsid w:val="00BF08EA"/>
    <w:rsid w:val="00BF16F9"/>
    <w:rsid w:val="00BF1725"/>
    <w:rsid w:val="00BF183F"/>
    <w:rsid w:val="00BF19AA"/>
    <w:rsid w:val="00BF1B1C"/>
    <w:rsid w:val="00BF1C08"/>
    <w:rsid w:val="00BF1DE7"/>
    <w:rsid w:val="00BF2024"/>
    <w:rsid w:val="00BF22A2"/>
    <w:rsid w:val="00BF2457"/>
    <w:rsid w:val="00BF274E"/>
    <w:rsid w:val="00BF28AC"/>
    <w:rsid w:val="00BF294B"/>
    <w:rsid w:val="00BF341C"/>
    <w:rsid w:val="00BF3B34"/>
    <w:rsid w:val="00BF3E02"/>
    <w:rsid w:val="00BF4035"/>
    <w:rsid w:val="00BF45D7"/>
    <w:rsid w:val="00BF4724"/>
    <w:rsid w:val="00BF4923"/>
    <w:rsid w:val="00BF49E0"/>
    <w:rsid w:val="00BF4A34"/>
    <w:rsid w:val="00BF4AF1"/>
    <w:rsid w:val="00BF4BA1"/>
    <w:rsid w:val="00BF4E17"/>
    <w:rsid w:val="00BF4F07"/>
    <w:rsid w:val="00BF5072"/>
    <w:rsid w:val="00BF50D0"/>
    <w:rsid w:val="00BF51FC"/>
    <w:rsid w:val="00BF5AD5"/>
    <w:rsid w:val="00BF5AFC"/>
    <w:rsid w:val="00BF5B62"/>
    <w:rsid w:val="00BF5BBE"/>
    <w:rsid w:val="00BF5C04"/>
    <w:rsid w:val="00BF5C7E"/>
    <w:rsid w:val="00BF680A"/>
    <w:rsid w:val="00BF68D2"/>
    <w:rsid w:val="00BF6C84"/>
    <w:rsid w:val="00BF6F66"/>
    <w:rsid w:val="00BF6F85"/>
    <w:rsid w:val="00BF6FE3"/>
    <w:rsid w:val="00BF7387"/>
    <w:rsid w:val="00BF7D1B"/>
    <w:rsid w:val="00BF7DC9"/>
    <w:rsid w:val="00C00142"/>
    <w:rsid w:val="00C0022E"/>
    <w:rsid w:val="00C008AC"/>
    <w:rsid w:val="00C009D7"/>
    <w:rsid w:val="00C00A93"/>
    <w:rsid w:val="00C013A8"/>
    <w:rsid w:val="00C0141D"/>
    <w:rsid w:val="00C016B4"/>
    <w:rsid w:val="00C01E48"/>
    <w:rsid w:val="00C02777"/>
    <w:rsid w:val="00C0291D"/>
    <w:rsid w:val="00C035E5"/>
    <w:rsid w:val="00C0366B"/>
    <w:rsid w:val="00C040BB"/>
    <w:rsid w:val="00C0423E"/>
    <w:rsid w:val="00C04336"/>
    <w:rsid w:val="00C04629"/>
    <w:rsid w:val="00C0467C"/>
    <w:rsid w:val="00C04C43"/>
    <w:rsid w:val="00C04C93"/>
    <w:rsid w:val="00C04EB3"/>
    <w:rsid w:val="00C052B8"/>
    <w:rsid w:val="00C05635"/>
    <w:rsid w:val="00C05657"/>
    <w:rsid w:val="00C05BA2"/>
    <w:rsid w:val="00C05DF7"/>
    <w:rsid w:val="00C06309"/>
    <w:rsid w:val="00C064A5"/>
    <w:rsid w:val="00C065AF"/>
    <w:rsid w:val="00C0669F"/>
    <w:rsid w:val="00C06B93"/>
    <w:rsid w:val="00C06CF0"/>
    <w:rsid w:val="00C073B5"/>
    <w:rsid w:val="00C075B4"/>
    <w:rsid w:val="00C0772D"/>
    <w:rsid w:val="00C0795C"/>
    <w:rsid w:val="00C07A64"/>
    <w:rsid w:val="00C07E09"/>
    <w:rsid w:val="00C07EC1"/>
    <w:rsid w:val="00C07EF9"/>
    <w:rsid w:val="00C07EFA"/>
    <w:rsid w:val="00C106D0"/>
    <w:rsid w:val="00C1086C"/>
    <w:rsid w:val="00C108C6"/>
    <w:rsid w:val="00C1093B"/>
    <w:rsid w:val="00C10986"/>
    <w:rsid w:val="00C10F79"/>
    <w:rsid w:val="00C10F86"/>
    <w:rsid w:val="00C1129B"/>
    <w:rsid w:val="00C11539"/>
    <w:rsid w:val="00C1166E"/>
    <w:rsid w:val="00C12554"/>
    <w:rsid w:val="00C1271E"/>
    <w:rsid w:val="00C1278D"/>
    <w:rsid w:val="00C12A6F"/>
    <w:rsid w:val="00C131B1"/>
    <w:rsid w:val="00C1358D"/>
    <w:rsid w:val="00C13A13"/>
    <w:rsid w:val="00C13AB9"/>
    <w:rsid w:val="00C14186"/>
    <w:rsid w:val="00C14222"/>
    <w:rsid w:val="00C14397"/>
    <w:rsid w:val="00C1449B"/>
    <w:rsid w:val="00C14847"/>
    <w:rsid w:val="00C14AFD"/>
    <w:rsid w:val="00C14F79"/>
    <w:rsid w:val="00C15484"/>
    <w:rsid w:val="00C155A0"/>
    <w:rsid w:val="00C15A39"/>
    <w:rsid w:val="00C15E89"/>
    <w:rsid w:val="00C162BD"/>
    <w:rsid w:val="00C16B9D"/>
    <w:rsid w:val="00C16D69"/>
    <w:rsid w:val="00C1723D"/>
    <w:rsid w:val="00C17D6E"/>
    <w:rsid w:val="00C17DD5"/>
    <w:rsid w:val="00C2018F"/>
    <w:rsid w:val="00C202B4"/>
    <w:rsid w:val="00C206E8"/>
    <w:rsid w:val="00C207C8"/>
    <w:rsid w:val="00C2081F"/>
    <w:rsid w:val="00C20865"/>
    <w:rsid w:val="00C20AE8"/>
    <w:rsid w:val="00C20B2A"/>
    <w:rsid w:val="00C20B9C"/>
    <w:rsid w:val="00C20DEB"/>
    <w:rsid w:val="00C210A1"/>
    <w:rsid w:val="00C2112F"/>
    <w:rsid w:val="00C21201"/>
    <w:rsid w:val="00C2192F"/>
    <w:rsid w:val="00C22099"/>
    <w:rsid w:val="00C224A1"/>
    <w:rsid w:val="00C227E9"/>
    <w:rsid w:val="00C22C2B"/>
    <w:rsid w:val="00C22D16"/>
    <w:rsid w:val="00C22F7A"/>
    <w:rsid w:val="00C242F6"/>
    <w:rsid w:val="00C250BD"/>
    <w:rsid w:val="00C25450"/>
    <w:rsid w:val="00C25D0E"/>
    <w:rsid w:val="00C26830"/>
    <w:rsid w:val="00C26896"/>
    <w:rsid w:val="00C26A9B"/>
    <w:rsid w:val="00C26F97"/>
    <w:rsid w:val="00C27516"/>
    <w:rsid w:val="00C2791C"/>
    <w:rsid w:val="00C300BC"/>
    <w:rsid w:val="00C305C6"/>
    <w:rsid w:val="00C305FA"/>
    <w:rsid w:val="00C3081D"/>
    <w:rsid w:val="00C309DB"/>
    <w:rsid w:val="00C30A44"/>
    <w:rsid w:val="00C30EB9"/>
    <w:rsid w:val="00C30F10"/>
    <w:rsid w:val="00C3130D"/>
    <w:rsid w:val="00C313E7"/>
    <w:rsid w:val="00C31532"/>
    <w:rsid w:val="00C31612"/>
    <w:rsid w:val="00C316E5"/>
    <w:rsid w:val="00C317EA"/>
    <w:rsid w:val="00C31A8B"/>
    <w:rsid w:val="00C31BC4"/>
    <w:rsid w:val="00C32302"/>
    <w:rsid w:val="00C327F9"/>
    <w:rsid w:val="00C32B17"/>
    <w:rsid w:val="00C32F83"/>
    <w:rsid w:val="00C33065"/>
    <w:rsid w:val="00C33396"/>
    <w:rsid w:val="00C33836"/>
    <w:rsid w:val="00C34EDA"/>
    <w:rsid w:val="00C34F15"/>
    <w:rsid w:val="00C3510A"/>
    <w:rsid w:val="00C35402"/>
    <w:rsid w:val="00C3572A"/>
    <w:rsid w:val="00C35741"/>
    <w:rsid w:val="00C35885"/>
    <w:rsid w:val="00C36356"/>
    <w:rsid w:val="00C36CF7"/>
    <w:rsid w:val="00C37022"/>
    <w:rsid w:val="00C373DA"/>
    <w:rsid w:val="00C37746"/>
    <w:rsid w:val="00C378B9"/>
    <w:rsid w:val="00C3799B"/>
    <w:rsid w:val="00C37CDC"/>
    <w:rsid w:val="00C37D3D"/>
    <w:rsid w:val="00C37DC8"/>
    <w:rsid w:val="00C37FF0"/>
    <w:rsid w:val="00C40284"/>
    <w:rsid w:val="00C40B3C"/>
    <w:rsid w:val="00C414F6"/>
    <w:rsid w:val="00C4159B"/>
    <w:rsid w:val="00C415D4"/>
    <w:rsid w:val="00C41602"/>
    <w:rsid w:val="00C41AA2"/>
    <w:rsid w:val="00C41B93"/>
    <w:rsid w:val="00C41E07"/>
    <w:rsid w:val="00C41E4F"/>
    <w:rsid w:val="00C41FDC"/>
    <w:rsid w:val="00C420C0"/>
    <w:rsid w:val="00C42346"/>
    <w:rsid w:val="00C42867"/>
    <w:rsid w:val="00C42992"/>
    <w:rsid w:val="00C43213"/>
    <w:rsid w:val="00C432EB"/>
    <w:rsid w:val="00C4345E"/>
    <w:rsid w:val="00C43586"/>
    <w:rsid w:val="00C43861"/>
    <w:rsid w:val="00C438AE"/>
    <w:rsid w:val="00C43A64"/>
    <w:rsid w:val="00C441EC"/>
    <w:rsid w:val="00C44A17"/>
    <w:rsid w:val="00C44BF2"/>
    <w:rsid w:val="00C450EC"/>
    <w:rsid w:val="00C4514F"/>
    <w:rsid w:val="00C452AE"/>
    <w:rsid w:val="00C45309"/>
    <w:rsid w:val="00C4536C"/>
    <w:rsid w:val="00C4554A"/>
    <w:rsid w:val="00C459F0"/>
    <w:rsid w:val="00C45C9F"/>
    <w:rsid w:val="00C4622B"/>
    <w:rsid w:val="00C462B1"/>
    <w:rsid w:val="00C4634E"/>
    <w:rsid w:val="00C469C1"/>
    <w:rsid w:val="00C46DD6"/>
    <w:rsid w:val="00C47202"/>
    <w:rsid w:val="00C475CC"/>
    <w:rsid w:val="00C479E5"/>
    <w:rsid w:val="00C47FFC"/>
    <w:rsid w:val="00C5016E"/>
    <w:rsid w:val="00C501B1"/>
    <w:rsid w:val="00C50A65"/>
    <w:rsid w:val="00C50BF4"/>
    <w:rsid w:val="00C50C7E"/>
    <w:rsid w:val="00C50E92"/>
    <w:rsid w:val="00C51053"/>
    <w:rsid w:val="00C5109C"/>
    <w:rsid w:val="00C516C7"/>
    <w:rsid w:val="00C517FF"/>
    <w:rsid w:val="00C51AED"/>
    <w:rsid w:val="00C51FCA"/>
    <w:rsid w:val="00C52312"/>
    <w:rsid w:val="00C5248C"/>
    <w:rsid w:val="00C52C1E"/>
    <w:rsid w:val="00C52E55"/>
    <w:rsid w:val="00C52E67"/>
    <w:rsid w:val="00C53204"/>
    <w:rsid w:val="00C534D6"/>
    <w:rsid w:val="00C53E76"/>
    <w:rsid w:val="00C544CB"/>
    <w:rsid w:val="00C54A1A"/>
    <w:rsid w:val="00C54A54"/>
    <w:rsid w:val="00C55109"/>
    <w:rsid w:val="00C5514A"/>
    <w:rsid w:val="00C552A0"/>
    <w:rsid w:val="00C55340"/>
    <w:rsid w:val="00C55A8E"/>
    <w:rsid w:val="00C55D17"/>
    <w:rsid w:val="00C55F12"/>
    <w:rsid w:val="00C56201"/>
    <w:rsid w:val="00C563DB"/>
    <w:rsid w:val="00C56447"/>
    <w:rsid w:val="00C566E4"/>
    <w:rsid w:val="00C568EC"/>
    <w:rsid w:val="00C56F75"/>
    <w:rsid w:val="00C571E6"/>
    <w:rsid w:val="00C572F4"/>
    <w:rsid w:val="00C578E7"/>
    <w:rsid w:val="00C602EF"/>
    <w:rsid w:val="00C6049A"/>
    <w:rsid w:val="00C6059E"/>
    <w:rsid w:val="00C6062A"/>
    <w:rsid w:val="00C60722"/>
    <w:rsid w:val="00C60E03"/>
    <w:rsid w:val="00C61487"/>
    <w:rsid w:val="00C61634"/>
    <w:rsid w:val="00C61B71"/>
    <w:rsid w:val="00C6201F"/>
    <w:rsid w:val="00C6239D"/>
    <w:rsid w:val="00C62472"/>
    <w:rsid w:val="00C626BA"/>
    <w:rsid w:val="00C62A03"/>
    <w:rsid w:val="00C62E49"/>
    <w:rsid w:val="00C62F38"/>
    <w:rsid w:val="00C631F1"/>
    <w:rsid w:val="00C632C7"/>
    <w:rsid w:val="00C63688"/>
    <w:rsid w:val="00C636EC"/>
    <w:rsid w:val="00C6370F"/>
    <w:rsid w:val="00C63795"/>
    <w:rsid w:val="00C639F7"/>
    <w:rsid w:val="00C63B91"/>
    <w:rsid w:val="00C63D1A"/>
    <w:rsid w:val="00C63FBD"/>
    <w:rsid w:val="00C6427C"/>
    <w:rsid w:val="00C644FD"/>
    <w:rsid w:val="00C64A1F"/>
    <w:rsid w:val="00C64F6B"/>
    <w:rsid w:val="00C65065"/>
    <w:rsid w:val="00C65066"/>
    <w:rsid w:val="00C65435"/>
    <w:rsid w:val="00C65B32"/>
    <w:rsid w:val="00C65C4E"/>
    <w:rsid w:val="00C661C4"/>
    <w:rsid w:val="00C662D4"/>
    <w:rsid w:val="00C663E8"/>
    <w:rsid w:val="00C665CC"/>
    <w:rsid w:val="00C667A9"/>
    <w:rsid w:val="00C66D3B"/>
    <w:rsid w:val="00C66DAF"/>
    <w:rsid w:val="00C66FD4"/>
    <w:rsid w:val="00C6720F"/>
    <w:rsid w:val="00C673F3"/>
    <w:rsid w:val="00C675F1"/>
    <w:rsid w:val="00C67A89"/>
    <w:rsid w:val="00C700CF"/>
    <w:rsid w:val="00C70708"/>
    <w:rsid w:val="00C70863"/>
    <w:rsid w:val="00C7086D"/>
    <w:rsid w:val="00C71006"/>
    <w:rsid w:val="00C717F0"/>
    <w:rsid w:val="00C71A59"/>
    <w:rsid w:val="00C71AA1"/>
    <w:rsid w:val="00C71B8A"/>
    <w:rsid w:val="00C71BA3"/>
    <w:rsid w:val="00C71C50"/>
    <w:rsid w:val="00C71D7F"/>
    <w:rsid w:val="00C72AB4"/>
    <w:rsid w:val="00C72B8D"/>
    <w:rsid w:val="00C72BA0"/>
    <w:rsid w:val="00C72C0D"/>
    <w:rsid w:val="00C72C5A"/>
    <w:rsid w:val="00C72CEF"/>
    <w:rsid w:val="00C73658"/>
    <w:rsid w:val="00C736E2"/>
    <w:rsid w:val="00C73999"/>
    <w:rsid w:val="00C73EA8"/>
    <w:rsid w:val="00C741C2"/>
    <w:rsid w:val="00C742CB"/>
    <w:rsid w:val="00C7431D"/>
    <w:rsid w:val="00C74A9A"/>
    <w:rsid w:val="00C74ABC"/>
    <w:rsid w:val="00C74C92"/>
    <w:rsid w:val="00C75076"/>
    <w:rsid w:val="00C75102"/>
    <w:rsid w:val="00C7511E"/>
    <w:rsid w:val="00C75128"/>
    <w:rsid w:val="00C75571"/>
    <w:rsid w:val="00C7569B"/>
    <w:rsid w:val="00C75B81"/>
    <w:rsid w:val="00C75C66"/>
    <w:rsid w:val="00C75CF9"/>
    <w:rsid w:val="00C75DF2"/>
    <w:rsid w:val="00C763E2"/>
    <w:rsid w:val="00C7661B"/>
    <w:rsid w:val="00C76DE7"/>
    <w:rsid w:val="00C76E97"/>
    <w:rsid w:val="00C77058"/>
    <w:rsid w:val="00C772A5"/>
    <w:rsid w:val="00C77453"/>
    <w:rsid w:val="00C775E0"/>
    <w:rsid w:val="00C7772A"/>
    <w:rsid w:val="00C77976"/>
    <w:rsid w:val="00C8000E"/>
    <w:rsid w:val="00C800D0"/>
    <w:rsid w:val="00C803EB"/>
    <w:rsid w:val="00C80AD1"/>
    <w:rsid w:val="00C80B2D"/>
    <w:rsid w:val="00C81112"/>
    <w:rsid w:val="00C81BFE"/>
    <w:rsid w:val="00C81F41"/>
    <w:rsid w:val="00C8233B"/>
    <w:rsid w:val="00C8241D"/>
    <w:rsid w:val="00C826D0"/>
    <w:rsid w:val="00C82BCA"/>
    <w:rsid w:val="00C833FC"/>
    <w:rsid w:val="00C837F7"/>
    <w:rsid w:val="00C8403C"/>
    <w:rsid w:val="00C853BF"/>
    <w:rsid w:val="00C85506"/>
    <w:rsid w:val="00C855A5"/>
    <w:rsid w:val="00C85741"/>
    <w:rsid w:val="00C85D47"/>
    <w:rsid w:val="00C85EA3"/>
    <w:rsid w:val="00C85EC6"/>
    <w:rsid w:val="00C861A2"/>
    <w:rsid w:val="00C86B36"/>
    <w:rsid w:val="00C86C11"/>
    <w:rsid w:val="00C87380"/>
    <w:rsid w:val="00C873E7"/>
    <w:rsid w:val="00C8754B"/>
    <w:rsid w:val="00C8756C"/>
    <w:rsid w:val="00C879B4"/>
    <w:rsid w:val="00C90091"/>
    <w:rsid w:val="00C90724"/>
    <w:rsid w:val="00C907F6"/>
    <w:rsid w:val="00C907F8"/>
    <w:rsid w:val="00C90854"/>
    <w:rsid w:val="00C908CD"/>
    <w:rsid w:val="00C908F7"/>
    <w:rsid w:val="00C90A04"/>
    <w:rsid w:val="00C9198A"/>
    <w:rsid w:val="00C91B22"/>
    <w:rsid w:val="00C92120"/>
    <w:rsid w:val="00C92333"/>
    <w:rsid w:val="00C9236C"/>
    <w:rsid w:val="00C929D9"/>
    <w:rsid w:val="00C929ED"/>
    <w:rsid w:val="00C92CA0"/>
    <w:rsid w:val="00C92D89"/>
    <w:rsid w:val="00C92E1F"/>
    <w:rsid w:val="00C93543"/>
    <w:rsid w:val="00C93D88"/>
    <w:rsid w:val="00C93EB7"/>
    <w:rsid w:val="00C93F25"/>
    <w:rsid w:val="00C940E5"/>
    <w:rsid w:val="00C948EC"/>
    <w:rsid w:val="00C94E4E"/>
    <w:rsid w:val="00C9547F"/>
    <w:rsid w:val="00C95585"/>
    <w:rsid w:val="00C9560A"/>
    <w:rsid w:val="00C95AB5"/>
    <w:rsid w:val="00C95F5D"/>
    <w:rsid w:val="00C96326"/>
    <w:rsid w:val="00C96509"/>
    <w:rsid w:val="00C96ACB"/>
    <w:rsid w:val="00C96B8F"/>
    <w:rsid w:val="00C96F10"/>
    <w:rsid w:val="00C97092"/>
    <w:rsid w:val="00C970F0"/>
    <w:rsid w:val="00C97325"/>
    <w:rsid w:val="00C9736E"/>
    <w:rsid w:val="00C975E5"/>
    <w:rsid w:val="00C978E1"/>
    <w:rsid w:val="00C978F0"/>
    <w:rsid w:val="00C97951"/>
    <w:rsid w:val="00C97AE7"/>
    <w:rsid w:val="00C97D94"/>
    <w:rsid w:val="00CA0041"/>
    <w:rsid w:val="00CA044E"/>
    <w:rsid w:val="00CA0932"/>
    <w:rsid w:val="00CA0C07"/>
    <w:rsid w:val="00CA101D"/>
    <w:rsid w:val="00CA161F"/>
    <w:rsid w:val="00CA16A4"/>
    <w:rsid w:val="00CA1770"/>
    <w:rsid w:val="00CA1DB4"/>
    <w:rsid w:val="00CA1E02"/>
    <w:rsid w:val="00CA1F48"/>
    <w:rsid w:val="00CA240D"/>
    <w:rsid w:val="00CA24F3"/>
    <w:rsid w:val="00CA26BE"/>
    <w:rsid w:val="00CA27A0"/>
    <w:rsid w:val="00CA27E6"/>
    <w:rsid w:val="00CA2DFE"/>
    <w:rsid w:val="00CA2E03"/>
    <w:rsid w:val="00CA2E33"/>
    <w:rsid w:val="00CA2E66"/>
    <w:rsid w:val="00CA3716"/>
    <w:rsid w:val="00CA396F"/>
    <w:rsid w:val="00CA39B2"/>
    <w:rsid w:val="00CA3E36"/>
    <w:rsid w:val="00CA3E8D"/>
    <w:rsid w:val="00CA4167"/>
    <w:rsid w:val="00CA42B0"/>
    <w:rsid w:val="00CA46A9"/>
    <w:rsid w:val="00CA47D4"/>
    <w:rsid w:val="00CA4892"/>
    <w:rsid w:val="00CA4BBD"/>
    <w:rsid w:val="00CA4BDA"/>
    <w:rsid w:val="00CA4E04"/>
    <w:rsid w:val="00CA4E39"/>
    <w:rsid w:val="00CA5531"/>
    <w:rsid w:val="00CA5554"/>
    <w:rsid w:val="00CA57FF"/>
    <w:rsid w:val="00CA62E1"/>
    <w:rsid w:val="00CA6527"/>
    <w:rsid w:val="00CA6C1D"/>
    <w:rsid w:val="00CA6C4B"/>
    <w:rsid w:val="00CA71E4"/>
    <w:rsid w:val="00CA7220"/>
    <w:rsid w:val="00CA726E"/>
    <w:rsid w:val="00CA78AE"/>
    <w:rsid w:val="00CA7967"/>
    <w:rsid w:val="00CB012F"/>
    <w:rsid w:val="00CB0171"/>
    <w:rsid w:val="00CB038F"/>
    <w:rsid w:val="00CB04F0"/>
    <w:rsid w:val="00CB097C"/>
    <w:rsid w:val="00CB0C56"/>
    <w:rsid w:val="00CB0F25"/>
    <w:rsid w:val="00CB10E3"/>
    <w:rsid w:val="00CB11A4"/>
    <w:rsid w:val="00CB1264"/>
    <w:rsid w:val="00CB1424"/>
    <w:rsid w:val="00CB1549"/>
    <w:rsid w:val="00CB15D0"/>
    <w:rsid w:val="00CB1C70"/>
    <w:rsid w:val="00CB2026"/>
    <w:rsid w:val="00CB22E6"/>
    <w:rsid w:val="00CB22EA"/>
    <w:rsid w:val="00CB29C2"/>
    <w:rsid w:val="00CB2B79"/>
    <w:rsid w:val="00CB2CDC"/>
    <w:rsid w:val="00CB307A"/>
    <w:rsid w:val="00CB31D4"/>
    <w:rsid w:val="00CB3BB2"/>
    <w:rsid w:val="00CB4281"/>
    <w:rsid w:val="00CB443B"/>
    <w:rsid w:val="00CB4679"/>
    <w:rsid w:val="00CB4712"/>
    <w:rsid w:val="00CB49E1"/>
    <w:rsid w:val="00CB4E3E"/>
    <w:rsid w:val="00CB51C7"/>
    <w:rsid w:val="00CB53FE"/>
    <w:rsid w:val="00CB6673"/>
    <w:rsid w:val="00CB6879"/>
    <w:rsid w:val="00CB68C5"/>
    <w:rsid w:val="00CB6C2C"/>
    <w:rsid w:val="00CB73AF"/>
    <w:rsid w:val="00CB7784"/>
    <w:rsid w:val="00CB77F6"/>
    <w:rsid w:val="00CB7A07"/>
    <w:rsid w:val="00CB7B1E"/>
    <w:rsid w:val="00CB7B20"/>
    <w:rsid w:val="00CB7C55"/>
    <w:rsid w:val="00CB7F2E"/>
    <w:rsid w:val="00CB7F78"/>
    <w:rsid w:val="00CC0250"/>
    <w:rsid w:val="00CC052F"/>
    <w:rsid w:val="00CC05AB"/>
    <w:rsid w:val="00CC0643"/>
    <w:rsid w:val="00CC0682"/>
    <w:rsid w:val="00CC08E3"/>
    <w:rsid w:val="00CC0B29"/>
    <w:rsid w:val="00CC0BC4"/>
    <w:rsid w:val="00CC0BD3"/>
    <w:rsid w:val="00CC11B5"/>
    <w:rsid w:val="00CC1F7D"/>
    <w:rsid w:val="00CC218D"/>
    <w:rsid w:val="00CC2AE8"/>
    <w:rsid w:val="00CC3751"/>
    <w:rsid w:val="00CC377E"/>
    <w:rsid w:val="00CC45FB"/>
    <w:rsid w:val="00CC47E9"/>
    <w:rsid w:val="00CC5148"/>
    <w:rsid w:val="00CC533C"/>
    <w:rsid w:val="00CC5A6F"/>
    <w:rsid w:val="00CC5BDE"/>
    <w:rsid w:val="00CC5D91"/>
    <w:rsid w:val="00CC5F06"/>
    <w:rsid w:val="00CC5FA6"/>
    <w:rsid w:val="00CC60D1"/>
    <w:rsid w:val="00CC7236"/>
    <w:rsid w:val="00CC726B"/>
    <w:rsid w:val="00CC72C9"/>
    <w:rsid w:val="00CC753B"/>
    <w:rsid w:val="00CC76FE"/>
    <w:rsid w:val="00CC7BCD"/>
    <w:rsid w:val="00CC7F8E"/>
    <w:rsid w:val="00CD0009"/>
    <w:rsid w:val="00CD01DE"/>
    <w:rsid w:val="00CD02D9"/>
    <w:rsid w:val="00CD0426"/>
    <w:rsid w:val="00CD0429"/>
    <w:rsid w:val="00CD05E0"/>
    <w:rsid w:val="00CD0610"/>
    <w:rsid w:val="00CD0809"/>
    <w:rsid w:val="00CD09F2"/>
    <w:rsid w:val="00CD0BE4"/>
    <w:rsid w:val="00CD0F8B"/>
    <w:rsid w:val="00CD10E9"/>
    <w:rsid w:val="00CD130A"/>
    <w:rsid w:val="00CD1364"/>
    <w:rsid w:val="00CD1F1B"/>
    <w:rsid w:val="00CD22D2"/>
    <w:rsid w:val="00CD232A"/>
    <w:rsid w:val="00CD2687"/>
    <w:rsid w:val="00CD2857"/>
    <w:rsid w:val="00CD28C5"/>
    <w:rsid w:val="00CD29C6"/>
    <w:rsid w:val="00CD2AEE"/>
    <w:rsid w:val="00CD2CF9"/>
    <w:rsid w:val="00CD331D"/>
    <w:rsid w:val="00CD358D"/>
    <w:rsid w:val="00CD3A3C"/>
    <w:rsid w:val="00CD3D19"/>
    <w:rsid w:val="00CD3F47"/>
    <w:rsid w:val="00CD40BB"/>
    <w:rsid w:val="00CD4201"/>
    <w:rsid w:val="00CD42E4"/>
    <w:rsid w:val="00CD4423"/>
    <w:rsid w:val="00CD4CE9"/>
    <w:rsid w:val="00CD4DE4"/>
    <w:rsid w:val="00CD5229"/>
    <w:rsid w:val="00CD53C6"/>
    <w:rsid w:val="00CD549F"/>
    <w:rsid w:val="00CD5593"/>
    <w:rsid w:val="00CD57A0"/>
    <w:rsid w:val="00CD57D3"/>
    <w:rsid w:val="00CD5B17"/>
    <w:rsid w:val="00CD5F98"/>
    <w:rsid w:val="00CD6212"/>
    <w:rsid w:val="00CD6385"/>
    <w:rsid w:val="00CD668B"/>
    <w:rsid w:val="00CD6822"/>
    <w:rsid w:val="00CD7EC5"/>
    <w:rsid w:val="00CD7F23"/>
    <w:rsid w:val="00CE02EE"/>
    <w:rsid w:val="00CE0381"/>
    <w:rsid w:val="00CE058B"/>
    <w:rsid w:val="00CE09D8"/>
    <w:rsid w:val="00CE0E2D"/>
    <w:rsid w:val="00CE0E64"/>
    <w:rsid w:val="00CE0F7E"/>
    <w:rsid w:val="00CE105D"/>
    <w:rsid w:val="00CE11BB"/>
    <w:rsid w:val="00CE13DA"/>
    <w:rsid w:val="00CE1684"/>
    <w:rsid w:val="00CE1737"/>
    <w:rsid w:val="00CE1825"/>
    <w:rsid w:val="00CE1E7A"/>
    <w:rsid w:val="00CE1F06"/>
    <w:rsid w:val="00CE20E0"/>
    <w:rsid w:val="00CE2207"/>
    <w:rsid w:val="00CE23A2"/>
    <w:rsid w:val="00CE24E7"/>
    <w:rsid w:val="00CE262F"/>
    <w:rsid w:val="00CE2A66"/>
    <w:rsid w:val="00CE2FEB"/>
    <w:rsid w:val="00CE305F"/>
    <w:rsid w:val="00CE316A"/>
    <w:rsid w:val="00CE3751"/>
    <w:rsid w:val="00CE3B1F"/>
    <w:rsid w:val="00CE3FAB"/>
    <w:rsid w:val="00CE40B6"/>
    <w:rsid w:val="00CE4451"/>
    <w:rsid w:val="00CE44E1"/>
    <w:rsid w:val="00CE480D"/>
    <w:rsid w:val="00CE4F03"/>
    <w:rsid w:val="00CE4F51"/>
    <w:rsid w:val="00CE5529"/>
    <w:rsid w:val="00CE5838"/>
    <w:rsid w:val="00CE587C"/>
    <w:rsid w:val="00CE5932"/>
    <w:rsid w:val="00CE5A88"/>
    <w:rsid w:val="00CE5B35"/>
    <w:rsid w:val="00CE5CA5"/>
    <w:rsid w:val="00CE5E8F"/>
    <w:rsid w:val="00CE6004"/>
    <w:rsid w:val="00CE67A0"/>
    <w:rsid w:val="00CE67C6"/>
    <w:rsid w:val="00CE6B99"/>
    <w:rsid w:val="00CE6DE0"/>
    <w:rsid w:val="00CE701F"/>
    <w:rsid w:val="00CE72C2"/>
    <w:rsid w:val="00CE7363"/>
    <w:rsid w:val="00CE7899"/>
    <w:rsid w:val="00CE792B"/>
    <w:rsid w:val="00CF0708"/>
    <w:rsid w:val="00CF08D8"/>
    <w:rsid w:val="00CF0DEC"/>
    <w:rsid w:val="00CF0F1E"/>
    <w:rsid w:val="00CF118C"/>
    <w:rsid w:val="00CF1396"/>
    <w:rsid w:val="00CF1495"/>
    <w:rsid w:val="00CF1522"/>
    <w:rsid w:val="00CF1653"/>
    <w:rsid w:val="00CF1865"/>
    <w:rsid w:val="00CF1A99"/>
    <w:rsid w:val="00CF23E7"/>
    <w:rsid w:val="00CF2EE2"/>
    <w:rsid w:val="00CF3636"/>
    <w:rsid w:val="00CF38C9"/>
    <w:rsid w:val="00CF39A4"/>
    <w:rsid w:val="00CF432C"/>
    <w:rsid w:val="00CF452C"/>
    <w:rsid w:val="00CF487B"/>
    <w:rsid w:val="00CF4DFA"/>
    <w:rsid w:val="00CF4F58"/>
    <w:rsid w:val="00CF5473"/>
    <w:rsid w:val="00CF57C5"/>
    <w:rsid w:val="00CF5CF9"/>
    <w:rsid w:val="00CF6274"/>
    <w:rsid w:val="00CF62B4"/>
    <w:rsid w:val="00CF6389"/>
    <w:rsid w:val="00CF65CB"/>
    <w:rsid w:val="00CF673A"/>
    <w:rsid w:val="00CF678C"/>
    <w:rsid w:val="00CF69DA"/>
    <w:rsid w:val="00CF6D98"/>
    <w:rsid w:val="00CF6DBE"/>
    <w:rsid w:val="00CF70D1"/>
    <w:rsid w:val="00CF73CB"/>
    <w:rsid w:val="00CF7469"/>
    <w:rsid w:val="00CF7483"/>
    <w:rsid w:val="00CF7B25"/>
    <w:rsid w:val="00CF7CBC"/>
    <w:rsid w:val="00CF7DF6"/>
    <w:rsid w:val="00D001BD"/>
    <w:rsid w:val="00D0043D"/>
    <w:rsid w:val="00D0047C"/>
    <w:rsid w:val="00D00A88"/>
    <w:rsid w:val="00D00BB5"/>
    <w:rsid w:val="00D00CE7"/>
    <w:rsid w:val="00D00E97"/>
    <w:rsid w:val="00D00F59"/>
    <w:rsid w:val="00D010A8"/>
    <w:rsid w:val="00D01275"/>
    <w:rsid w:val="00D01365"/>
    <w:rsid w:val="00D013A5"/>
    <w:rsid w:val="00D01B1A"/>
    <w:rsid w:val="00D01D7C"/>
    <w:rsid w:val="00D02050"/>
    <w:rsid w:val="00D02214"/>
    <w:rsid w:val="00D029AA"/>
    <w:rsid w:val="00D02AE5"/>
    <w:rsid w:val="00D02EA7"/>
    <w:rsid w:val="00D03451"/>
    <w:rsid w:val="00D03457"/>
    <w:rsid w:val="00D03910"/>
    <w:rsid w:val="00D03A04"/>
    <w:rsid w:val="00D03A85"/>
    <w:rsid w:val="00D03D57"/>
    <w:rsid w:val="00D04459"/>
    <w:rsid w:val="00D0484A"/>
    <w:rsid w:val="00D0485B"/>
    <w:rsid w:val="00D04A63"/>
    <w:rsid w:val="00D04B5E"/>
    <w:rsid w:val="00D04CCB"/>
    <w:rsid w:val="00D04F0C"/>
    <w:rsid w:val="00D0521B"/>
    <w:rsid w:val="00D05367"/>
    <w:rsid w:val="00D05B27"/>
    <w:rsid w:val="00D05BD9"/>
    <w:rsid w:val="00D05D3A"/>
    <w:rsid w:val="00D06362"/>
    <w:rsid w:val="00D0669D"/>
    <w:rsid w:val="00D06826"/>
    <w:rsid w:val="00D06A06"/>
    <w:rsid w:val="00D076F9"/>
    <w:rsid w:val="00D078DD"/>
    <w:rsid w:val="00D1075C"/>
    <w:rsid w:val="00D10C58"/>
    <w:rsid w:val="00D10C8D"/>
    <w:rsid w:val="00D110AA"/>
    <w:rsid w:val="00D11416"/>
    <w:rsid w:val="00D11481"/>
    <w:rsid w:val="00D11802"/>
    <w:rsid w:val="00D118AF"/>
    <w:rsid w:val="00D11B62"/>
    <w:rsid w:val="00D11CF1"/>
    <w:rsid w:val="00D11ED0"/>
    <w:rsid w:val="00D12332"/>
    <w:rsid w:val="00D12699"/>
    <w:rsid w:val="00D129BF"/>
    <w:rsid w:val="00D12B2D"/>
    <w:rsid w:val="00D12BA2"/>
    <w:rsid w:val="00D12C4A"/>
    <w:rsid w:val="00D12E3C"/>
    <w:rsid w:val="00D13324"/>
    <w:rsid w:val="00D1356A"/>
    <w:rsid w:val="00D1364A"/>
    <w:rsid w:val="00D137B2"/>
    <w:rsid w:val="00D13BAF"/>
    <w:rsid w:val="00D13F5E"/>
    <w:rsid w:val="00D140FA"/>
    <w:rsid w:val="00D1415F"/>
    <w:rsid w:val="00D14A8B"/>
    <w:rsid w:val="00D14A9C"/>
    <w:rsid w:val="00D14AED"/>
    <w:rsid w:val="00D14B1E"/>
    <w:rsid w:val="00D14CD6"/>
    <w:rsid w:val="00D1534A"/>
    <w:rsid w:val="00D1540C"/>
    <w:rsid w:val="00D15DB0"/>
    <w:rsid w:val="00D15E12"/>
    <w:rsid w:val="00D163B1"/>
    <w:rsid w:val="00D16965"/>
    <w:rsid w:val="00D16D49"/>
    <w:rsid w:val="00D17074"/>
    <w:rsid w:val="00D173E5"/>
    <w:rsid w:val="00D17730"/>
    <w:rsid w:val="00D178A3"/>
    <w:rsid w:val="00D178EA"/>
    <w:rsid w:val="00D17A72"/>
    <w:rsid w:val="00D17AB6"/>
    <w:rsid w:val="00D17AFA"/>
    <w:rsid w:val="00D206F5"/>
    <w:rsid w:val="00D2075B"/>
    <w:rsid w:val="00D209D6"/>
    <w:rsid w:val="00D20CD6"/>
    <w:rsid w:val="00D20E99"/>
    <w:rsid w:val="00D212D9"/>
    <w:rsid w:val="00D2198C"/>
    <w:rsid w:val="00D21A9B"/>
    <w:rsid w:val="00D21AA9"/>
    <w:rsid w:val="00D221EA"/>
    <w:rsid w:val="00D22217"/>
    <w:rsid w:val="00D22F01"/>
    <w:rsid w:val="00D2305D"/>
    <w:rsid w:val="00D2348B"/>
    <w:rsid w:val="00D235D8"/>
    <w:rsid w:val="00D237E2"/>
    <w:rsid w:val="00D2394B"/>
    <w:rsid w:val="00D23BEC"/>
    <w:rsid w:val="00D23C08"/>
    <w:rsid w:val="00D23C7D"/>
    <w:rsid w:val="00D23C86"/>
    <w:rsid w:val="00D23E8D"/>
    <w:rsid w:val="00D2430A"/>
    <w:rsid w:val="00D2455F"/>
    <w:rsid w:val="00D2511D"/>
    <w:rsid w:val="00D26052"/>
    <w:rsid w:val="00D26739"/>
    <w:rsid w:val="00D26A23"/>
    <w:rsid w:val="00D26C06"/>
    <w:rsid w:val="00D26DBB"/>
    <w:rsid w:val="00D270D7"/>
    <w:rsid w:val="00D2751A"/>
    <w:rsid w:val="00D27597"/>
    <w:rsid w:val="00D27FA9"/>
    <w:rsid w:val="00D30018"/>
    <w:rsid w:val="00D300B5"/>
    <w:rsid w:val="00D301FF"/>
    <w:rsid w:val="00D30408"/>
    <w:rsid w:val="00D30821"/>
    <w:rsid w:val="00D30A56"/>
    <w:rsid w:val="00D30E00"/>
    <w:rsid w:val="00D3151B"/>
    <w:rsid w:val="00D31AF5"/>
    <w:rsid w:val="00D31C5E"/>
    <w:rsid w:val="00D31CD5"/>
    <w:rsid w:val="00D31D2C"/>
    <w:rsid w:val="00D31F79"/>
    <w:rsid w:val="00D3219B"/>
    <w:rsid w:val="00D3234F"/>
    <w:rsid w:val="00D32353"/>
    <w:rsid w:val="00D32E08"/>
    <w:rsid w:val="00D33237"/>
    <w:rsid w:val="00D3346F"/>
    <w:rsid w:val="00D33567"/>
    <w:rsid w:val="00D33583"/>
    <w:rsid w:val="00D338E6"/>
    <w:rsid w:val="00D338F2"/>
    <w:rsid w:val="00D33AE2"/>
    <w:rsid w:val="00D33B70"/>
    <w:rsid w:val="00D33DD8"/>
    <w:rsid w:val="00D33E81"/>
    <w:rsid w:val="00D342FB"/>
    <w:rsid w:val="00D3450B"/>
    <w:rsid w:val="00D34A89"/>
    <w:rsid w:val="00D35026"/>
    <w:rsid w:val="00D3521A"/>
    <w:rsid w:val="00D3522C"/>
    <w:rsid w:val="00D352C3"/>
    <w:rsid w:val="00D353AF"/>
    <w:rsid w:val="00D353B5"/>
    <w:rsid w:val="00D35479"/>
    <w:rsid w:val="00D355AA"/>
    <w:rsid w:val="00D3580D"/>
    <w:rsid w:val="00D35822"/>
    <w:rsid w:val="00D358D7"/>
    <w:rsid w:val="00D35AAD"/>
    <w:rsid w:val="00D35B22"/>
    <w:rsid w:val="00D35C10"/>
    <w:rsid w:val="00D35C7D"/>
    <w:rsid w:val="00D35D63"/>
    <w:rsid w:val="00D35EB3"/>
    <w:rsid w:val="00D36AC9"/>
    <w:rsid w:val="00D3710B"/>
    <w:rsid w:val="00D371DA"/>
    <w:rsid w:val="00D3733E"/>
    <w:rsid w:val="00D37371"/>
    <w:rsid w:val="00D373D0"/>
    <w:rsid w:val="00D37423"/>
    <w:rsid w:val="00D3771D"/>
    <w:rsid w:val="00D37743"/>
    <w:rsid w:val="00D3792C"/>
    <w:rsid w:val="00D37D98"/>
    <w:rsid w:val="00D40112"/>
    <w:rsid w:val="00D4025A"/>
    <w:rsid w:val="00D40481"/>
    <w:rsid w:val="00D40783"/>
    <w:rsid w:val="00D40834"/>
    <w:rsid w:val="00D40C5F"/>
    <w:rsid w:val="00D40DDF"/>
    <w:rsid w:val="00D4147E"/>
    <w:rsid w:val="00D417A6"/>
    <w:rsid w:val="00D4196D"/>
    <w:rsid w:val="00D41AC3"/>
    <w:rsid w:val="00D4288B"/>
    <w:rsid w:val="00D42A41"/>
    <w:rsid w:val="00D42C3B"/>
    <w:rsid w:val="00D43119"/>
    <w:rsid w:val="00D43256"/>
    <w:rsid w:val="00D434B5"/>
    <w:rsid w:val="00D436F8"/>
    <w:rsid w:val="00D4371B"/>
    <w:rsid w:val="00D43F82"/>
    <w:rsid w:val="00D44267"/>
    <w:rsid w:val="00D44389"/>
    <w:rsid w:val="00D447E1"/>
    <w:rsid w:val="00D44AA5"/>
    <w:rsid w:val="00D44B0E"/>
    <w:rsid w:val="00D44CA4"/>
    <w:rsid w:val="00D44DE3"/>
    <w:rsid w:val="00D45462"/>
    <w:rsid w:val="00D46164"/>
    <w:rsid w:val="00D4641D"/>
    <w:rsid w:val="00D46A51"/>
    <w:rsid w:val="00D46C53"/>
    <w:rsid w:val="00D46D4C"/>
    <w:rsid w:val="00D46E2B"/>
    <w:rsid w:val="00D47977"/>
    <w:rsid w:val="00D47B96"/>
    <w:rsid w:val="00D5066A"/>
    <w:rsid w:val="00D5069E"/>
    <w:rsid w:val="00D50852"/>
    <w:rsid w:val="00D50A29"/>
    <w:rsid w:val="00D50C8F"/>
    <w:rsid w:val="00D51168"/>
    <w:rsid w:val="00D51303"/>
    <w:rsid w:val="00D513C1"/>
    <w:rsid w:val="00D52168"/>
    <w:rsid w:val="00D52588"/>
    <w:rsid w:val="00D53064"/>
    <w:rsid w:val="00D533EB"/>
    <w:rsid w:val="00D5356B"/>
    <w:rsid w:val="00D53FC4"/>
    <w:rsid w:val="00D540E3"/>
    <w:rsid w:val="00D5445E"/>
    <w:rsid w:val="00D544A6"/>
    <w:rsid w:val="00D54744"/>
    <w:rsid w:val="00D54ABB"/>
    <w:rsid w:val="00D5509E"/>
    <w:rsid w:val="00D5518D"/>
    <w:rsid w:val="00D554A5"/>
    <w:rsid w:val="00D5555E"/>
    <w:rsid w:val="00D5556E"/>
    <w:rsid w:val="00D555C0"/>
    <w:rsid w:val="00D55726"/>
    <w:rsid w:val="00D55CA9"/>
    <w:rsid w:val="00D55CB0"/>
    <w:rsid w:val="00D5644B"/>
    <w:rsid w:val="00D56538"/>
    <w:rsid w:val="00D565D5"/>
    <w:rsid w:val="00D56C26"/>
    <w:rsid w:val="00D56C3C"/>
    <w:rsid w:val="00D56F14"/>
    <w:rsid w:val="00D570DC"/>
    <w:rsid w:val="00D5716B"/>
    <w:rsid w:val="00D57251"/>
    <w:rsid w:val="00D57807"/>
    <w:rsid w:val="00D57A96"/>
    <w:rsid w:val="00D57E79"/>
    <w:rsid w:val="00D57FA5"/>
    <w:rsid w:val="00D6000F"/>
    <w:rsid w:val="00D601C0"/>
    <w:rsid w:val="00D60A97"/>
    <w:rsid w:val="00D60CD3"/>
    <w:rsid w:val="00D60F91"/>
    <w:rsid w:val="00D61694"/>
    <w:rsid w:val="00D61A16"/>
    <w:rsid w:val="00D61AE5"/>
    <w:rsid w:val="00D61EE2"/>
    <w:rsid w:val="00D62357"/>
    <w:rsid w:val="00D62717"/>
    <w:rsid w:val="00D62746"/>
    <w:rsid w:val="00D62750"/>
    <w:rsid w:val="00D629C3"/>
    <w:rsid w:val="00D62C6D"/>
    <w:rsid w:val="00D62F3B"/>
    <w:rsid w:val="00D632C1"/>
    <w:rsid w:val="00D63783"/>
    <w:rsid w:val="00D64BBE"/>
    <w:rsid w:val="00D64CC1"/>
    <w:rsid w:val="00D652CD"/>
    <w:rsid w:val="00D6531D"/>
    <w:rsid w:val="00D6537B"/>
    <w:rsid w:val="00D6575F"/>
    <w:rsid w:val="00D65BF2"/>
    <w:rsid w:val="00D65DF5"/>
    <w:rsid w:val="00D65F5A"/>
    <w:rsid w:val="00D6606A"/>
    <w:rsid w:val="00D666E3"/>
    <w:rsid w:val="00D668B9"/>
    <w:rsid w:val="00D66DC5"/>
    <w:rsid w:val="00D67128"/>
    <w:rsid w:val="00D6734D"/>
    <w:rsid w:val="00D679E5"/>
    <w:rsid w:val="00D67B5A"/>
    <w:rsid w:val="00D67E5C"/>
    <w:rsid w:val="00D70092"/>
    <w:rsid w:val="00D70215"/>
    <w:rsid w:val="00D702ED"/>
    <w:rsid w:val="00D7040E"/>
    <w:rsid w:val="00D70520"/>
    <w:rsid w:val="00D70A6A"/>
    <w:rsid w:val="00D70C3C"/>
    <w:rsid w:val="00D7118C"/>
    <w:rsid w:val="00D7139B"/>
    <w:rsid w:val="00D716BE"/>
    <w:rsid w:val="00D7171E"/>
    <w:rsid w:val="00D717D1"/>
    <w:rsid w:val="00D71A23"/>
    <w:rsid w:val="00D71DE2"/>
    <w:rsid w:val="00D71EF6"/>
    <w:rsid w:val="00D72304"/>
    <w:rsid w:val="00D723DB"/>
    <w:rsid w:val="00D72841"/>
    <w:rsid w:val="00D72999"/>
    <w:rsid w:val="00D72BB2"/>
    <w:rsid w:val="00D72EB5"/>
    <w:rsid w:val="00D72F3B"/>
    <w:rsid w:val="00D732D4"/>
    <w:rsid w:val="00D73784"/>
    <w:rsid w:val="00D7388D"/>
    <w:rsid w:val="00D73944"/>
    <w:rsid w:val="00D73A0E"/>
    <w:rsid w:val="00D73FD6"/>
    <w:rsid w:val="00D73FDF"/>
    <w:rsid w:val="00D740C5"/>
    <w:rsid w:val="00D741C2"/>
    <w:rsid w:val="00D74511"/>
    <w:rsid w:val="00D74685"/>
    <w:rsid w:val="00D74C4A"/>
    <w:rsid w:val="00D752BC"/>
    <w:rsid w:val="00D755B7"/>
    <w:rsid w:val="00D75870"/>
    <w:rsid w:val="00D75A75"/>
    <w:rsid w:val="00D75B33"/>
    <w:rsid w:val="00D75CCB"/>
    <w:rsid w:val="00D762F3"/>
    <w:rsid w:val="00D766F1"/>
    <w:rsid w:val="00D76934"/>
    <w:rsid w:val="00D769C7"/>
    <w:rsid w:val="00D76B52"/>
    <w:rsid w:val="00D76C35"/>
    <w:rsid w:val="00D77088"/>
    <w:rsid w:val="00D770BF"/>
    <w:rsid w:val="00D772AD"/>
    <w:rsid w:val="00D77469"/>
    <w:rsid w:val="00D77A8A"/>
    <w:rsid w:val="00D77C62"/>
    <w:rsid w:val="00D77F29"/>
    <w:rsid w:val="00D804ED"/>
    <w:rsid w:val="00D806FE"/>
    <w:rsid w:val="00D809C5"/>
    <w:rsid w:val="00D80D73"/>
    <w:rsid w:val="00D80E76"/>
    <w:rsid w:val="00D8187C"/>
    <w:rsid w:val="00D818EF"/>
    <w:rsid w:val="00D819B4"/>
    <w:rsid w:val="00D81F5A"/>
    <w:rsid w:val="00D82020"/>
    <w:rsid w:val="00D821E3"/>
    <w:rsid w:val="00D82D1B"/>
    <w:rsid w:val="00D82E3D"/>
    <w:rsid w:val="00D8333A"/>
    <w:rsid w:val="00D8354E"/>
    <w:rsid w:val="00D83731"/>
    <w:rsid w:val="00D839EB"/>
    <w:rsid w:val="00D83B68"/>
    <w:rsid w:val="00D83B8B"/>
    <w:rsid w:val="00D83C20"/>
    <w:rsid w:val="00D83D2F"/>
    <w:rsid w:val="00D83DCB"/>
    <w:rsid w:val="00D8431D"/>
    <w:rsid w:val="00D84687"/>
    <w:rsid w:val="00D847A9"/>
    <w:rsid w:val="00D84B1B"/>
    <w:rsid w:val="00D84EBD"/>
    <w:rsid w:val="00D8549C"/>
    <w:rsid w:val="00D85C42"/>
    <w:rsid w:val="00D85EC6"/>
    <w:rsid w:val="00D85FBB"/>
    <w:rsid w:val="00D8619C"/>
    <w:rsid w:val="00D864E9"/>
    <w:rsid w:val="00D86543"/>
    <w:rsid w:val="00D866CB"/>
    <w:rsid w:val="00D867F2"/>
    <w:rsid w:val="00D867F3"/>
    <w:rsid w:val="00D8684E"/>
    <w:rsid w:val="00D86A68"/>
    <w:rsid w:val="00D86BB0"/>
    <w:rsid w:val="00D86CED"/>
    <w:rsid w:val="00D86ECB"/>
    <w:rsid w:val="00D86F61"/>
    <w:rsid w:val="00D8701F"/>
    <w:rsid w:val="00D871BE"/>
    <w:rsid w:val="00D87815"/>
    <w:rsid w:val="00D87B76"/>
    <w:rsid w:val="00D87E0A"/>
    <w:rsid w:val="00D903F6"/>
    <w:rsid w:val="00D90BA8"/>
    <w:rsid w:val="00D90EEE"/>
    <w:rsid w:val="00D91035"/>
    <w:rsid w:val="00D914D1"/>
    <w:rsid w:val="00D915FD"/>
    <w:rsid w:val="00D91620"/>
    <w:rsid w:val="00D917E8"/>
    <w:rsid w:val="00D918D4"/>
    <w:rsid w:val="00D91939"/>
    <w:rsid w:val="00D91B90"/>
    <w:rsid w:val="00D91CBC"/>
    <w:rsid w:val="00D91FBE"/>
    <w:rsid w:val="00D92084"/>
    <w:rsid w:val="00D924B6"/>
    <w:rsid w:val="00D92A95"/>
    <w:rsid w:val="00D92E2C"/>
    <w:rsid w:val="00D93234"/>
    <w:rsid w:val="00D9326F"/>
    <w:rsid w:val="00D93510"/>
    <w:rsid w:val="00D93603"/>
    <w:rsid w:val="00D93AA1"/>
    <w:rsid w:val="00D93C55"/>
    <w:rsid w:val="00D93DBD"/>
    <w:rsid w:val="00D93EEF"/>
    <w:rsid w:val="00D94566"/>
    <w:rsid w:val="00D94583"/>
    <w:rsid w:val="00D94B5B"/>
    <w:rsid w:val="00D94BD7"/>
    <w:rsid w:val="00D94C63"/>
    <w:rsid w:val="00D94D75"/>
    <w:rsid w:val="00D94FD0"/>
    <w:rsid w:val="00D9503E"/>
    <w:rsid w:val="00D95496"/>
    <w:rsid w:val="00D958F3"/>
    <w:rsid w:val="00D95904"/>
    <w:rsid w:val="00D95CE3"/>
    <w:rsid w:val="00D960C6"/>
    <w:rsid w:val="00D964BF"/>
    <w:rsid w:val="00D965DD"/>
    <w:rsid w:val="00D969E1"/>
    <w:rsid w:val="00D96AC8"/>
    <w:rsid w:val="00D96C83"/>
    <w:rsid w:val="00D96D24"/>
    <w:rsid w:val="00D96F08"/>
    <w:rsid w:val="00D97319"/>
    <w:rsid w:val="00D9743F"/>
    <w:rsid w:val="00D97464"/>
    <w:rsid w:val="00D97544"/>
    <w:rsid w:val="00D978EA"/>
    <w:rsid w:val="00D97A0D"/>
    <w:rsid w:val="00D97A7D"/>
    <w:rsid w:val="00D97A88"/>
    <w:rsid w:val="00D97B1F"/>
    <w:rsid w:val="00D97B3C"/>
    <w:rsid w:val="00D97CBD"/>
    <w:rsid w:val="00D97D8C"/>
    <w:rsid w:val="00D97F7B"/>
    <w:rsid w:val="00D97FA2"/>
    <w:rsid w:val="00DA0082"/>
    <w:rsid w:val="00DA065E"/>
    <w:rsid w:val="00DA072C"/>
    <w:rsid w:val="00DA0FDE"/>
    <w:rsid w:val="00DA1135"/>
    <w:rsid w:val="00DA11A7"/>
    <w:rsid w:val="00DA180F"/>
    <w:rsid w:val="00DA199A"/>
    <w:rsid w:val="00DA1AF4"/>
    <w:rsid w:val="00DA1B23"/>
    <w:rsid w:val="00DA1E41"/>
    <w:rsid w:val="00DA1E44"/>
    <w:rsid w:val="00DA2512"/>
    <w:rsid w:val="00DA28B5"/>
    <w:rsid w:val="00DA2B33"/>
    <w:rsid w:val="00DA2D7B"/>
    <w:rsid w:val="00DA334C"/>
    <w:rsid w:val="00DA375E"/>
    <w:rsid w:val="00DA3933"/>
    <w:rsid w:val="00DA3CC6"/>
    <w:rsid w:val="00DA3EB4"/>
    <w:rsid w:val="00DA42BD"/>
    <w:rsid w:val="00DA46FB"/>
    <w:rsid w:val="00DA4C08"/>
    <w:rsid w:val="00DA4C17"/>
    <w:rsid w:val="00DA4FF9"/>
    <w:rsid w:val="00DA5268"/>
    <w:rsid w:val="00DA5792"/>
    <w:rsid w:val="00DA57C6"/>
    <w:rsid w:val="00DA57EF"/>
    <w:rsid w:val="00DA5A8D"/>
    <w:rsid w:val="00DA5AA4"/>
    <w:rsid w:val="00DA5C49"/>
    <w:rsid w:val="00DA5F97"/>
    <w:rsid w:val="00DA6089"/>
    <w:rsid w:val="00DA645A"/>
    <w:rsid w:val="00DA689F"/>
    <w:rsid w:val="00DA6DDF"/>
    <w:rsid w:val="00DA70EE"/>
    <w:rsid w:val="00DA7367"/>
    <w:rsid w:val="00DA7450"/>
    <w:rsid w:val="00DA773A"/>
    <w:rsid w:val="00DA7C01"/>
    <w:rsid w:val="00DA7D1F"/>
    <w:rsid w:val="00DB05E8"/>
    <w:rsid w:val="00DB092F"/>
    <w:rsid w:val="00DB0976"/>
    <w:rsid w:val="00DB0D0E"/>
    <w:rsid w:val="00DB0D90"/>
    <w:rsid w:val="00DB10DF"/>
    <w:rsid w:val="00DB1670"/>
    <w:rsid w:val="00DB16CF"/>
    <w:rsid w:val="00DB19DB"/>
    <w:rsid w:val="00DB1A55"/>
    <w:rsid w:val="00DB1CFB"/>
    <w:rsid w:val="00DB2124"/>
    <w:rsid w:val="00DB2147"/>
    <w:rsid w:val="00DB2386"/>
    <w:rsid w:val="00DB248C"/>
    <w:rsid w:val="00DB25DC"/>
    <w:rsid w:val="00DB2AAD"/>
    <w:rsid w:val="00DB2CCD"/>
    <w:rsid w:val="00DB3241"/>
    <w:rsid w:val="00DB3567"/>
    <w:rsid w:val="00DB3CFC"/>
    <w:rsid w:val="00DB3DF9"/>
    <w:rsid w:val="00DB42ED"/>
    <w:rsid w:val="00DB498A"/>
    <w:rsid w:val="00DB4B16"/>
    <w:rsid w:val="00DB4E60"/>
    <w:rsid w:val="00DB59E5"/>
    <w:rsid w:val="00DB5BE1"/>
    <w:rsid w:val="00DB63D3"/>
    <w:rsid w:val="00DB6888"/>
    <w:rsid w:val="00DB6EA4"/>
    <w:rsid w:val="00DB7004"/>
    <w:rsid w:val="00DB7321"/>
    <w:rsid w:val="00DB7893"/>
    <w:rsid w:val="00DB7DE7"/>
    <w:rsid w:val="00DB7E75"/>
    <w:rsid w:val="00DB7ED3"/>
    <w:rsid w:val="00DB7F36"/>
    <w:rsid w:val="00DC0587"/>
    <w:rsid w:val="00DC0596"/>
    <w:rsid w:val="00DC0981"/>
    <w:rsid w:val="00DC09AB"/>
    <w:rsid w:val="00DC0BC6"/>
    <w:rsid w:val="00DC1160"/>
    <w:rsid w:val="00DC11F1"/>
    <w:rsid w:val="00DC1260"/>
    <w:rsid w:val="00DC2054"/>
    <w:rsid w:val="00DC20BC"/>
    <w:rsid w:val="00DC2717"/>
    <w:rsid w:val="00DC2D96"/>
    <w:rsid w:val="00DC320B"/>
    <w:rsid w:val="00DC33E6"/>
    <w:rsid w:val="00DC3412"/>
    <w:rsid w:val="00DC37B0"/>
    <w:rsid w:val="00DC37D2"/>
    <w:rsid w:val="00DC3853"/>
    <w:rsid w:val="00DC39D0"/>
    <w:rsid w:val="00DC3A2A"/>
    <w:rsid w:val="00DC436E"/>
    <w:rsid w:val="00DC4852"/>
    <w:rsid w:val="00DC4F48"/>
    <w:rsid w:val="00DC514C"/>
    <w:rsid w:val="00DC54BD"/>
    <w:rsid w:val="00DC565C"/>
    <w:rsid w:val="00DC57F4"/>
    <w:rsid w:val="00DC58A8"/>
    <w:rsid w:val="00DC5D5F"/>
    <w:rsid w:val="00DC5E00"/>
    <w:rsid w:val="00DC672C"/>
    <w:rsid w:val="00DC6820"/>
    <w:rsid w:val="00DC6A03"/>
    <w:rsid w:val="00DC6A0A"/>
    <w:rsid w:val="00DC6C46"/>
    <w:rsid w:val="00DC6FA5"/>
    <w:rsid w:val="00DC7036"/>
    <w:rsid w:val="00DC7551"/>
    <w:rsid w:val="00DC7760"/>
    <w:rsid w:val="00DC788D"/>
    <w:rsid w:val="00DC7A48"/>
    <w:rsid w:val="00DC7AAB"/>
    <w:rsid w:val="00DC7E78"/>
    <w:rsid w:val="00DD01E2"/>
    <w:rsid w:val="00DD02A2"/>
    <w:rsid w:val="00DD049E"/>
    <w:rsid w:val="00DD05A2"/>
    <w:rsid w:val="00DD05C1"/>
    <w:rsid w:val="00DD06F4"/>
    <w:rsid w:val="00DD0960"/>
    <w:rsid w:val="00DD0E9F"/>
    <w:rsid w:val="00DD1260"/>
    <w:rsid w:val="00DD19AC"/>
    <w:rsid w:val="00DD1E00"/>
    <w:rsid w:val="00DD1E50"/>
    <w:rsid w:val="00DD1FAC"/>
    <w:rsid w:val="00DD2121"/>
    <w:rsid w:val="00DD220C"/>
    <w:rsid w:val="00DD236E"/>
    <w:rsid w:val="00DD25B2"/>
    <w:rsid w:val="00DD2BC7"/>
    <w:rsid w:val="00DD3124"/>
    <w:rsid w:val="00DD36A0"/>
    <w:rsid w:val="00DD3A5F"/>
    <w:rsid w:val="00DD4069"/>
    <w:rsid w:val="00DD4667"/>
    <w:rsid w:val="00DD481D"/>
    <w:rsid w:val="00DD4904"/>
    <w:rsid w:val="00DD4A2D"/>
    <w:rsid w:val="00DD4E75"/>
    <w:rsid w:val="00DD500B"/>
    <w:rsid w:val="00DD531F"/>
    <w:rsid w:val="00DD5603"/>
    <w:rsid w:val="00DD5720"/>
    <w:rsid w:val="00DD57A8"/>
    <w:rsid w:val="00DD5854"/>
    <w:rsid w:val="00DD58AC"/>
    <w:rsid w:val="00DD5914"/>
    <w:rsid w:val="00DD597A"/>
    <w:rsid w:val="00DD5A0F"/>
    <w:rsid w:val="00DD5C3C"/>
    <w:rsid w:val="00DD5F21"/>
    <w:rsid w:val="00DD6275"/>
    <w:rsid w:val="00DD640D"/>
    <w:rsid w:val="00DD6AED"/>
    <w:rsid w:val="00DD6B3A"/>
    <w:rsid w:val="00DD73E2"/>
    <w:rsid w:val="00DD7A08"/>
    <w:rsid w:val="00DD7B09"/>
    <w:rsid w:val="00DD7FE4"/>
    <w:rsid w:val="00DE02DC"/>
    <w:rsid w:val="00DE0445"/>
    <w:rsid w:val="00DE0716"/>
    <w:rsid w:val="00DE08D0"/>
    <w:rsid w:val="00DE096F"/>
    <w:rsid w:val="00DE0BCA"/>
    <w:rsid w:val="00DE0C5F"/>
    <w:rsid w:val="00DE0FB0"/>
    <w:rsid w:val="00DE0FFE"/>
    <w:rsid w:val="00DE12DE"/>
    <w:rsid w:val="00DE1441"/>
    <w:rsid w:val="00DE152F"/>
    <w:rsid w:val="00DE181A"/>
    <w:rsid w:val="00DE1E0F"/>
    <w:rsid w:val="00DE21D7"/>
    <w:rsid w:val="00DE2A4E"/>
    <w:rsid w:val="00DE2A8B"/>
    <w:rsid w:val="00DE2BEA"/>
    <w:rsid w:val="00DE2DFD"/>
    <w:rsid w:val="00DE2F7D"/>
    <w:rsid w:val="00DE2F98"/>
    <w:rsid w:val="00DE320F"/>
    <w:rsid w:val="00DE342C"/>
    <w:rsid w:val="00DE3435"/>
    <w:rsid w:val="00DE3916"/>
    <w:rsid w:val="00DE39A1"/>
    <w:rsid w:val="00DE3C7E"/>
    <w:rsid w:val="00DE3CEE"/>
    <w:rsid w:val="00DE3D1D"/>
    <w:rsid w:val="00DE3E93"/>
    <w:rsid w:val="00DE3EF4"/>
    <w:rsid w:val="00DE407B"/>
    <w:rsid w:val="00DE443B"/>
    <w:rsid w:val="00DE4988"/>
    <w:rsid w:val="00DE4A49"/>
    <w:rsid w:val="00DE4DE6"/>
    <w:rsid w:val="00DE4FB1"/>
    <w:rsid w:val="00DE5041"/>
    <w:rsid w:val="00DE5161"/>
    <w:rsid w:val="00DE5162"/>
    <w:rsid w:val="00DE530C"/>
    <w:rsid w:val="00DE5D73"/>
    <w:rsid w:val="00DE6453"/>
    <w:rsid w:val="00DE64DF"/>
    <w:rsid w:val="00DE6648"/>
    <w:rsid w:val="00DE672D"/>
    <w:rsid w:val="00DE6817"/>
    <w:rsid w:val="00DE6ACA"/>
    <w:rsid w:val="00DE6CF9"/>
    <w:rsid w:val="00DE6E46"/>
    <w:rsid w:val="00DE6ECC"/>
    <w:rsid w:val="00DE738D"/>
    <w:rsid w:val="00DE7440"/>
    <w:rsid w:val="00DE79CC"/>
    <w:rsid w:val="00DE7A99"/>
    <w:rsid w:val="00DE7D04"/>
    <w:rsid w:val="00DE7FA2"/>
    <w:rsid w:val="00DF0233"/>
    <w:rsid w:val="00DF02A5"/>
    <w:rsid w:val="00DF0E3B"/>
    <w:rsid w:val="00DF151B"/>
    <w:rsid w:val="00DF1683"/>
    <w:rsid w:val="00DF1870"/>
    <w:rsid w:val="00DF228F"/>
    <w:rsid w:val="00DF2753"/>
    <w:rsid w:val="00DF3290"/>
    <w:rsid w:val="00DF33BC"/>
    <w:rsid w:val="00DF3661"/>
    <w:rsid w:val="00DF36C2"/>
    <w:rsid w:val="00DF3F0E"/>
    <w:rsid w:val="00DF418A"/>
    <w:rsid w:val="00DF41C5"/>
    <w:rsid w:val="00DF41CC"/>
    <w:rsid w:val="00DF42ED"/>
    <w:rsid w:val="00DF437F"/>
    <w:rsid w:val="00DF448D"/>
    <w:rsid w:val="00DF47FA"/>
    <w:rsid w:val="00DF4EB3"/>
    <w:rsid w:val="00DF53AD"/>
    <w:rsid w:val="00DF5413"/>
    <w:rsid w:val="00DF5559"/>
    <w:rsid w:val="00DF5BBB"/>
    <w:rsid w:val="00DF5C3F"/>
    <w:rsid w:val="00DF5DE0"/>
    <w:rsid w:val="00DF5EC4"/>
    <w:rsid w:val="00DF619E"/>
    <w:rsid w:val="00DF6376"/>
    <w:rsid w:val="00DF6E62"/>
    <w:rsid w:val="00DF7229"/>
    <w:rsid w:val="00DF7350"/>
    <w:rsid w:val="00DF76EB"/>
    <w:rsid w:val="00DF7A69"/>
    <w:rsid w:val="00DF7DF1"/>
    <w:rsid w:val="00DF7E7B"/>
    <w:rsid w:val="00E00246"/>
    <w:rsid w:val="00E00353"/>
    <w:rsid w:val="00E00B4D"/>
    <w:rsid w:val="00E00F5F"/>
    <w:rsid w:val="00E01217"/>
    <w:rsid w:val="00E01479"/>
    <w:rsid w:val="00E0180B"/>
    <w:rsid w:val="00E01B1D"/>
    <w:rsid w:val="00E01C2E"/>
    <w:rsid w:val="00E01D4D"/>
    <w:rsid w:val="00E01DF1"/>
    <w:rsid w:val="00E01EC6"/>
    <w:rsid w:val="00E0234D"/>
    <w:rsid w:val="00E0246A"/>
    <w:rsid w:val="00E02C02"/>
    <w:rsid w:val="00E02C24"/>
    <w:rsid w:val="00E032F5"/>
    <w:rsid w:val="00E03311"/>
    <w:rsid w:val="00E03326"/>
    <w:rsid w:val="00E0373A"/>
    <w:rsid w:val="00E03DB4"/>
    <w:rsid w:val="00E03F79"/>
    <w:rsid w:val="00E03FF6"/>
    <w:rsid w:val="00E042BF"/>
    <w:rsid w:val="00E045B0"/>
    <w:rsid w:val="00E045FB"/>
    <w:rsid w:val="00E047CC"/>
    <w:rsid w:val="00E04B1B"/>
    <w:rsid w:val="00E04F27"/>
    <w:rsid w:val="00E050AA"/>
    <w:rsid w:val="00E051A8"/>
    <w:rsid w:val="00E05246"/>
    <w:rsid w:val="00E052A8"/>
    <w:rsid w:val="00E05457"/>
    <w:rsid w:val="00E054DB"/>
    <w:rsid w:val="00E05630"/>
    <w:rsid w:val="00E05661"/>
    <w:rsid w:val="00E05D86"/>
    <w:rsid w:val="00E06A63"/>
    <w:rsid w:val="00E06E6A"/>
    <w:rsid w:val="00E072B6"/>
    <w:rsid w:val="00E07790"/>
    <w:rsid w:val="00E07A10"/>
    <w:rsid w:val="00E07B5F"/>
    <w:rsid w:val="00E07CD1"/>
    <w:rsid w:val="00E1074D"/>
    <w:rsid w:val="00E10C72"/>
    <w:rsid w:val="00E10D46"/>
    <w:rsid w:val="00E10E9A"/>
    <w:rsid w:val="00E11089"/>
    <w:rsid w:val="00E110DA"/>
    <w:rsid w:val="00E11146"/>
    <w:rsid w:val="00E1163F"/>
    <w:rsid w:val="00E116C1"/>
    <w:rsid w:val="00E11DD3"/>
    <w:rsid w:val="00E11FC6"/>
    <w:rsid w:val="00E12772"/>
    <w:rsid w:val="00E12853"/>
    <w:rsid w:val="00E1290A"/>
    <w:rsid w:val="00E12982"/>
    <w:rsid w:val="00E12CA1"/>
    <w:rsid w:val="00E13414"/>
    <w:rsid w:val="00E134BB"/>
    <w:rsid w:val="00E135CD"/>
    <w:rsid w:val="00E136AA"/>
    <w:rsid w:val="00E13772"/>
    <w:rsid w:val="00E1385E"/>
    <w:rsid w:val="00E13A40"/>
    <w:rsid w:val="00E1404D"/>
    <w:rsid w:val="00E1420A"/>
    <w:rsid w:val="00E1426D"/>
    <w:rsid w:val="00E14283"/>
    <w:rsid w:val="00E1439B"/>
    <w:rsid w:val="00E14518"/>
    <w:rsid w:val="00E149D6"/>
    <w:rsid w:val="00E14C4D"/>
    <w:rsid w:val="00E14CB6"/>
    <w:rsid w:val="00E14D73"/>
    <w:rsid w:val="00E1531E"/>
    <w:rsid w:val="00E1594B"/>
    <w:rsid w:val="00E15CE6"/>
    <w:rsid w:val="00E15D39"/>
    <w:rsid w:val="00E16579"/>
    <w:rsid w:val="00E165F2"/>
    <w:rsid w:val="00E16E26"/>
    <w:rsid w:val="00E172D4"/>
    <w:rsid w:val="00E1776A"/>
    <w:rsid w:val="00E17889"/>
    <w:rsid w:val="00E17A3A"/>
    <w:rsid w:val="00E17C14"/>
    <w:rsid w:val="00E17C9B"/>
    <w:rsid w:val="00E20486"/>
    <w:rsid w:val="00E20941"/>
    <w:rsid w:val="00E20959"/>
    <w:rsid w:val="00E20A98"/>
    <w:rsid w:val="00E20BB3"/>
    <w:rsid w:val="00E20D20"/>
    <w:rsid w:val="00E20DBC"/>
    <w:rsid w:val="00E21134"/>
    <w:rsid w:val="00E21148"/>
    <w:rsid w:val="00E2115A"/>
    <w:rsid w:val="00E21260"/>
    <w:rsid w:val="00E218FC"/>
    <w:rsid w:val="00E21951"/>
    <w:rsid w:val="00E21AD9"/>
    <w:rsid w:val="00E21CBA"/>
    <w:rsid w:val="00E21D9D"/>
    <w:rsid w:val="00E220BB"/>
    <w:rsid w:val="00E222FA"/>
    <w:rsid w:val="00E22486"/>
    <w:rsid w:val="00E22749"/>
    <w:rsid w:val="00E2296A"/>
    <w:rsid w:val="00E2297D"/>
    <w:rsid w:val="00E23235"/>
    <w:rsid w:val="00E2350B"/>
    <w:rsid w:val="00E236AB"/>
    <w:rsid w:val="00E23940"/>
    <w:rsid w:val="00E23E2C"/>
    <w:rsid w:val="00E24406"/>
    <w:rsid w:val="00E24869"/>
    <w:rsid w:val="00E24BB5"/>
    <w:rsid w:val="00E25868"/>
    <w:rsid w:val="00E25C1C"/>
    <w:rsid w:val="00E25CD4"/>
    <w:rsid w:val="00E261D1"/>
    <w:rsid w:val="00E26A04"/>
    <w:rsid w:val="00E26BA2"/>
    <w:rsid w:val="00E26C94"/>
    <w:rsid w:val="00E26DA9"/>
    <w:rsid w:val="00E271B7"/>
    <w:rsid w:val="00E27393"/>
    <w:rsid w:val="00E273BB"/>
    <w:rsid w:val="00E27D77"/>
    <w:rsid w:val="00E27E06"/>
    <w:rsid w:val="00E30159"/>
    <w:rsid w:val="00E30252"/>
    <w:rsid w:val="00E3037C"/>
    <w:rsid w:val="00E30600"/>
    <w:rsid w:val="00E30942"/>
    <w:rsid w:val="00E30D2C"/>
    <w:rsid w:val="00E3168A"/>
    <w:rsid w:val="00E31ABF"/>
    <w:rsid w:val="00E31B40"/>
    <w:rsid w:val="00E32062"/>
    <w:rsid w:val="00E328B3"/>
    <w:rsid w:val="00E328F1"/>
    <w:rsid w:val="00E32CC5"/>
    <w:rsid w:val="00E32F50"/>
    <w:rsid w:val="00E339AA"/>
    <w:rsid w:val="00E33BE9"/>
    <w:rsid w:val="00E33C6D"/>
    <w:rsid w:val="00E33F6D"/>
    <w:rsid w:val="00E340BC"/>
    <w:rsid w:val="00E343E1"/>
    <w:rsid w:val="00E344AD"/>
    <w:rsid w:val="00E344CA"/>
    <w:rsid w:val="00E345BE"/>
    <w:rsid w:val="00E34AF7"/>
    <w:rsid w:val="00E34C55"/>
    <w:rsid w:val="00E34D07"/>
    <w:rsid w:val="00E34FE2"/>
    <w:rsid w:val="00E350EB"/>
    <w:rsid w:val="00E352CA"/>
    <w:rsid w:val="00E35396"/>
    <w:rsid w:val="00E35421"/>
    <w:rsid w:val="00E3579C"/>
    <w:rsid w:val="00E3588A"/>
    <w:rsid w:val="00E35A65"/>
    <w:rsid w:val="00E35CC9"/>
    <w:rsid w:val="00E3613D"/>
    <w:rsid w:val="00E364A4"/>
    <w:rsid w:val="00E36653"/>
    <w:rsid w:val="00E366D8"/>
    <w:rsid w:val="00E36A11"/>
    <w:rsid w:val="00E36B0A"/>
    <w:rsid w:val="00E36CD6"/>
    <w:rsid w:val="00E36EC0"/>
    <w:rsid w:val="00E36EEF"/>
    <w:rsid w:val="00E370E1"/>
    <w:rsid w:val="00E370EA"/>
    <w:rsid w:val="00E372D1"/>
    <w:rsid w:val="00E37AB3"/>
    <w:rsid w:val="00E37B28"/>
    <w:rsid w:val="00E40046"/>
    <w:rsid w:val="00E400FF"/>
    <w:rsid w:val="00E402A7"/>
    <w:rsid w:val="00E40596"/>
    <w:rsid w:val="00E40915"/>
    <w:rsid w:val="00E40955"/>
    <w:rsid w:val="00E40B5C"/>
    <w:rsid w:val="00E40C77"/>
    <w:rsid w:val="00E40DAC"/>
    <w:rsid w:val="00E411B6"/>
    <w:rsid w:val="00E41607"/>
    <w:rsid w:val="00E4161C"/>
    <w:rsid w:val="00E416EE"/>
    <w:rsid w:val="00E421B9"/>
    <w:rsid w:val="00E422D4"/>
    <w:rsid w:val="00E428AA"/>
    <w:rsid w:val="00E42A79"/>
    <w:rsid w:val="00E42DA2"/>
    <w:rsid w:val="00E42F23"/>
    <w:rsid w:val="00E43302"/>
    <w:rsid w:val="00E4337B"/>
    <w:rsid w:val="00E433EC"/>
    <w:rsid w:val="00E43491"/>
    <w:rsid w:val="00E437F0"/>
    <w:rsid w:val="00E438DA"/>
    <w:rsid w:val="00E43ACA"/>
    <w:rsid w:val="00E43E94"/>
    <w:rsid w:val="00E44241"/>
    <w:rsid w:val="00E4493D"/>
    <w:rsid w:val="00E44A3C"/>
    <w:rsid w:val="00E44A54"/>
    <w:rsid w:val="00E4556A"/>
    <w:rsid w:val="00E45580"/>
    <w:rsid w:val="00E45DC9"/>
    <w:rsid w:val="00E45E40"/>
    <w:rsid w:val="00E4648B"/>
    <w:rsid w:val="00E471A6"/>
    <w:rsid w:val="00E47F02"/>
    <w:rsid w:val="00E47F0F"/>
    <w:rsid w:val="00E50111"/>
    <w:rsid w:val="00E5043B"/>
    <w:rsid w:val="00E5094A"/>
    <w:rsid w:val="00E50B7C"/>
    <w:rsid w:val="00E50D0A"/>
    <w:rsid w:val="00E50E72"/>
    <w:rsid w:val="00E51114"/>
    <w:rsid w:val="00E5171D"/>
    <w:rsid w:val="00E51B4C"/>
    <w:rsid w:val="00E51C1E"/>
    <w:rsid w:val="00E51F81"/>
    <w:rsid w:val="00E5256B"/>
    <w:rsid w:val="00E52780"/>
    <w:rsid w:val="00E52CCB"/>
    <w:rsid w:val="00E52F49"/>
    <w:rsid w:val="00E53424"/>
    <w:rsid w:val="00E53CEF"/>
    <w:rsid w:val="00E53DEF"/>
    <w:rsid w:val="00E53E5C"/>
    <w:rsid w:val="00E53EFD"/>
    <w:rsid w:val="00E54291"/>
    <w:rsid w:val="00E54503"/>
    <w:rsid w:val="00E54E25"/>
    <w:rsid w:val="00E54EFC"/>
    <w:rsid w:val="00E54FF5"/>
    <w:rsid w:val="00E55057"/>
    <w:rsid w:val="00E5533C"/>
    <w:rsid w:val="00E55A12"/>
    <w:rsid w:val="00E55A72"/>
    <w:rsid w:val="00E55C64"/>
    <w:rsid w:val="00E55F9C"/>
    <w:rsid w:val="00E56197"/>
    <w:rsid w:val="00E56393"/>
    <w:rsid w:val="00E563AD"/>
    <w:rsid w:val="00E565CB"/>
    <w:rsid w:val="00E568E1"/>
    <w:rsid w:val="00E56AD5"/>
    <w:rsid w:val="00E56D35"/>
    <w:rsid w:val="00E56ED5"/>
    <w:rsid w:val="00E57095"/>
    <w:rsid w:val="00E5724A"/>
    <w:rsid w:val="00E57476"/>
    <w:rsid w:val="00E5752C"/>
    <w:rsid w:val="00E5773B"/>
    <w:rsid w:val="00E579EA"/>
    <w:rsid w:val="00E57EE0"/>
    <w:rsid w:val="00E60B91"/>
    <w:rsid w:val="00E60D9A"/>
    <w:rsid w:val="00E60E23"/>
    <w:rsid w:val="00E611A6"/>
    <w:rsid w:val="00E61381"/>
    <w:rsid w:val="00E61479"/>
    <w:rsid w:val="00E614F9"/>
    <w:rsid w:val="00E61928"/>
    <w:rsid w:val="00E61B11"/>
    <w:rsid w:val="00E61C67"/>
    <w:rsid w:val="00E61E25"/>
    <w:rsid w:val="00E61F78"/>
    <w:rsid w:val="00E620FA"/>
    <w:rsid w:val="00E6217E"/>
    <w:rsid w:val="00E628D3"/>
    <w:rsid w:val="00E62AD7"/>
    <w:rsid w:val="00E631DF"/>
    <w:rsid w:val="00E63275"/>
    <w:rsid w:val="00E633EB"/>
    <w:rsid w:val="00E63EA2"/>
    <w:rsid w:val="00E641EF"/>
    <w:rsid w:val="00E646A5"/>
    <w:rsid w:val="00E64975"/>
    <w:rsid w:val="00E64BD1"/>
    <w:rsid w:val="00E659E7"/>
    <w:rsid w:val="00E65D0D"/>
    <w:rsid w:val="00E661E2"/>
    <w:rsid w:val="00E661F9"/>
    <w:rsid w:val="00E662D2"/>
    <w:rsid w:val="00E66A57"/>
    <w:rsid w:val="00E674F6"/>
    <w:rsid w:val="00E67AB5"/>
    <w:rsid w:val="00E67B84"/>
    <w:rsid w:val="00E67E17"/>
    <w:rsid w:val="00E67F71"/>
    <w:rsid w:val="00E701F0"/>
    <w:rsid w:val="00E702A6"/>
    <w:rsid w:val="00E7091B"/>
    <w:rsid w:val="00E70AC5"/>
    <w:rsid w:val="00E70BED"/>
    <w:rsid w:val="00E70D90"/>
    <w:rsid w:val="00E71012"/>
    <w:rsid w:val="00E710BD"/>
    <w:rsid w:val="00E71209"/>
    <w:rsid w:val="00E71409"/>
    <w:rsid w:val="00E71410"/>
    <w:rsid w:val="00E717AE"/>
    <w:rsid w:val="00E71A2D"/>
    <w:rsid w:val="00E71CC9"/>
    <w:rsid w:val="00E71E02"/>
    <w:rsid w:val="00E7233A"/>
    <w:rsid w:val="00E7299C"/>
    <w:rsid w:val="00E72A87"/>
    <w:rsid w:val="00E72BBA"/>
    <w:rsid w:val="00E72EEF"/>
    <w:rsid w:val="00E72F5E"/>
    <w:rsid w:val="00E730CD"/>
    <w:rsid w:val="00E73F06"/>
    <w:rsid w:val="00E73F45"/>
    <w:rsid w:val="00E74394"/>
    <w:rsid w:val="00E745F9"/>
    <w:rsid w:val="00E74B45"/>
    <w:rsid w:val="00E74B9A"/>
    <w:rsid w:val="00E74E71"/>
    <w:rsid w:val="00E74F69"/>
    <w:rsid w:val="00E751CD"/>
    <w:rsid w:val="00E755EF"/>
    <w:rsid w:val="00E75BB2"/>
    <w:rsid w:val="00E763E5"/>
    <w:rsid w:val="00E768A6"/>
    <w:rsid w:val="00E768AD"/>
    <w:rsid w:val="00E76AF6"/>
    <w:rsid w:val="00E772A4"/>
    <w:rsid w:val="00E7770D"/>
    <w:rsid w:val="00E777CB"/>
    <w:rsid w:val="00E77A17"/>
    <w:rsid w:val="00E77BE4"/>
    <w:rsid w:val="00E80133"/>
    <w:rsid w:val="00E805F5"/>
    <w:rsid w:val="00E80E93"/>
    <w:rsid w:val="00E8124E"/>
    <w:rsid w:val="00E815E0"/>
    <w:rsid w:val="00E8172C"/>
    <w:rsid w:val="00E81A96"/>
    <w:rsid w:val="00E81B17"/>
    <w:rsid w:val="00E81B45"/>
    <w:rsid w:val="00E81F4A"/>
    <w:rsid w:val="00E8209B"/>
    <w:rsid w:val="00E82145"/>
    <w:rsid w:val="00E822FD"/>
    <w:rsid w:val="00E82947"/>
    <w:rsid w:val="00E82CAC"/>
    <w:rsid w:val="00E8311C"/>
    <w:rsid w:val="00E832F5"/>
    <w:rsid w:val="00E83447"/>
    <w:rsid w:val="00E8349E"/>
    <w:rsid w:val="00E837EE"/>
    <w:rsid w:val="00E83822"/>
    <w:rsid w:val="00E8397A"/>
    <w:rsid w:val="00E83C80"/>
    <w:rsid w:val="00E83FC0"/>
    <w:rsid w:val="00E840A7"/>
    <w:rsid w:val="00E84158"/>
    <w:rsid w:val="00E84B71"/>
    <w:rsid w:val="00E84DFB"/>
    <w:rsid w:val="00E85B2A"/>
    <w:rsid w:val="00E85CB2"/>
    <w:rsid w:val="00E8650D"/>
    <w:rsid w:val="00E8660F"/>
    <w:rsid w:val="00E86715"/>
    <w:rsid w:val="00E86B48"/>
    <w:rsid w:val="00E86E45"/>
    <w:rsid w:val="00E87234"/>
    <w:rsid w:val="00E87336"/>
    <w:rsid w:val="00E87690"/>
    <w:rsid w:val="00E87B7D"/>
    <w:rsid w:val="00E87BFD"/>
    <w:rsid w:val="00E87D04"/>
    <w:rsid w:val="00E902DD"/>
    <w:rsid w:val="00E90304"/>
    <w:rsid w:val="00E9097E"/>
    <w:rsid w:val="00E90A3F"/>
    <w:rsid w:val="00E90C02"/>
    <w:rsid w:val="00E91028"/>
    <w:rsid w:val="00E919FC"/>
    <w:rsid w:val="00E91A6C"/>
    <w:rsid w:val="00E91E24"/>
    <w:rsid w:val="00E92270"/>
    <w:rsid w:val="00E92645"/>
    <w:rsid w:val="00E927F9"/>
    <w:rsid w:val="00E92933"/>
    <w:rsid w:val="00E92A25"/>
    <w:rsid w:val="00E92C0E"/>
    <w:rsid w:val="00E92C4A"/>
    <w:rsid w:val="00E93116"/>
    <w:rsid w:val="00E931CF"/>
    <w:rsid w:val="00E93534"/>
    <w:rsid w:val="00E93A5A"/>
    <w:rsid w:val="00E93B56"/>
    <w:rsid w:val="00E93CC2"/>
    <w:rsid w:val="00E93CD6"/>
    <w:rsid w:val="00E93E01"/>
    <w:rsid w:val="00E948F1"/>
    <w:rsid w:val="00E94C97"/>
    <w:rsid w:val="00E94DA6"/>
    <w:rsid w:val="00E951EA"/>
    <w:rsid w:val="00E95593"/>
    <w:rsid w:val="00E957C1"/>
    <w:rsid w:val="00E9608A"/>
    <w:rsid w:val="00E960D9"/>
    <w:rsid w:val="00E9689B"/>
    <w:rsid w:val="00E96E1D"/>
    <w:rsid w:val="00E979F0"/>
    <w:rsid w:val="00E97E00"/>
    <w:rsid w:val="00E97F74"/>
    <w:rsid w:val="00EA00CE"/>
    <w:rsid w:val="00EA01CF"/>
    <w:rsid w:val="00EA01DF"/>
    <w:rsid w:val="00EA021A"/>
    <w:rsid w:val="00EA06C9"/>
    <w:rsid w:val="00EA12AA"/>
    <w:rsid w:val="00EA130D"/>
    <w:rsid w:val="00EA1506"/>
    <w:rsid w:val="00EA184D"/>
    <w:rsid w:val="00EA1A19"/>
    <w:rsid w:val="00EA1AEE"/>
    <w:rsid w:val="00EA1B55"/>
    <w:rsid w:val="00EA1F5D"/>
    <w:rsid w:val="00EA24F4"/>
    <w:rsid w:val="00EA2DC9"/>
    <w:rsid w:val="00EA30EC"/>
    <w:rsid w:val="00EA326B"/>
    <w:rsid w:val="00EA32A7"/>
    <w:rsid w:val="00EA36EC"/>
    <w:rsid w:val="00EA38A8"/>
    <w:rsid w:val="00EA3FF7"/>
    <w:rsid w:val="00EA4018"/>
    <w:rsid w:val="00EA4385"/>
    <w:rsid w:val="00EA442E"/>
    <w:rsid w:val="00EA4822"/>
    <w:rsid w:val="00EA4966"/>
    <w:rsid w:val="00EA4A19"/>
    <w:rsid w:val="00EA4B50"/>
    <w:rsid w:val="00EA4DF6"/>
    <w:rsid w:val="00EA5249"/>
    <w:rsid w:val="00EA52E5"/>
    <w:rsid w:val="00EA5342"/>
    <w:rsid w:val="00EA575B"/>
    <w:rsid w:val="00EA5865"/>
    <w:rsid w:val="00EA5E49"/>
    <w:rsid w:val="00EA5FB3"/>
    <w:rsid w:val="00EA6B46"/>
    <w:rsid w:val="00EA6E5E"/>
    <w:rsid w:val="00EA6ECB"/>
    <w:rsid w:val="00EA7237"/>
    <w:rsid w:val="00EA7282"/>
    <w:rsid w:val="00EA756C"/>
    <w:rsid w:val="00EA75F0"/>
    <w:rsid w:val="00EA7903"/>
    <w:rsid w:val="00EA7C4F"/>
    <w:rsid w:val="00EA7EA9"/>
    <w:rsid w:val="00EB059C"/>
    <w:rsid w:val="00EB076D"/>
    <w:rsid w:val="00EB0A23"/>
    <w:rsid w:val="00EB0CB1"/>
    <w:rsid w:val="00EB0CFE"/>
    <w:rsid w:val="00EB0D1F"/>
    <w:rsid w:val="00EB145D"/>
    <w:rsid w:val="00EB152F"/>
    <w:rsid w:val="00EB1A21"/>
    <w:rsid w:val="00EB1B28"/>
    <w:rsid w:val="00EB1BCA"/>
    <w:rsid w:val="00EB1FC9"/>
    <w:rsid w:val="00EB20BA"/>
    <w:rsid w:val="00EB2242"/>
    <w:rsid w:val="00EB2394"/>
    <w:rsid w:val="00EB243D"/>
    <w:rsid w:val="00EB25AF"/>
    <w:rsid w:val="00EB2663"/>
    <w:rsid w:val="00EB29D1"/>
    <w:rsid w:val="00EB333B"/>
    <w:rsid w:val="00EB3370"/>
    <w:rsid w:val="00EB385F"/>
    <w:rsid w:val="00EB4660"/>
    <w:rsid w:val="00EB4B43"/>
    <w:rsid w:val="00EB4B64"/>
    <w:rsid w:val="00EB5484"/>
    <w:rsid w:val="00EB56BC"/>
    <w:rsid w:val="00EB592C"/>
    <w:rsid w:val="00EB5B58"/>
    <w:rsid w:val="00EB5C18"/>
    <w:rsid w:val="00EB5D4C"/>
    <w:rsid w:val="00EB6091"/>
    <w:rsid w:val="00EB69AB"/>
    <w:rsid w:val="00EB6CD0"/>
    <w:rsid w:val="00EB7444"/>
    <w:rsid w:val="00EB7B73"/>
    <w:rsid w:val="00EB7C7D"/>
    <w:rsid w:val="00EB7E8E"/>
    <w:rsid w:val="00EC027C"/>
    <w:rsid w:val="00EC0503"/>
    <w:rsid w:val="00EC07BB"/>
    <w:rsid w:val="00EC07C3"/>
    <w:rsid w:val="00EC09E4"/>
    <w:rsid w:val="00EC0B3F"/>
    <w:rsid w:val="00EC14B4"/>
    <w:rsid w:val="00EC1611"/>
    <w:rsid w:val="00EC1CD3"/>
    <w:rsid w:val="00EC21C8"/>
    <w:rsid w:val="00EC2553"/>
    <w:rsid w:val="00EC2664"/>
    <w:rsid w:val="00EC26AE"/>
    <w:rsid w:val="00EC2817"/>
    <w:rsid w:val="00EC2CD1"/>
    <w:rsid w:val="00EC2E8D"/>
    <w:rsid w:val="00EC309C"/>
    <w:rsid w:val="00EC3328"/>
    <w:rsid w:val="00EC36D7"/>
    <w:rsid w:val="00EC38C8"/>
    <w:rsid w:val="00EC3BA3"/>
    <w:rsid w:val="00EC3D0F"/>
    <w:rsid w:val="00EC3DB3"/>
    <w:rsid w:val="00EC4393"/>
    <w:rsid w:val="00EC456F"/>
    <w:rsid w:val="00EC4B1F"/>
    <w:rsid w:val="00EC5178"/>
    <w:rsid w:val="00EC56C7"/>
    <w:rsid w:val="00EC5CBD"/>
    <w:rsid w:val="00EC618D"/>
    <w:rsid w:val="00EC61E2"/>
    <w:rsid w:val="00EC63AA"/>
    <w:rsid w:val="00EC6562"/>
    <w:rsid w:val="00EC65CA"/>
    <w:rsid w:val="00EC6816"/>
    <w:rsid w:val="00EC6FA6"/>
    <w:rsid w:val="00EC7CCB"/>
    <w:rsid w:val="00EC7DA6"/>
    <w:rsid w:val="00ED01CF"/>
    <w:rsid w:val="00ED02DF"/>
    <w:rsid w:val="00ED04A0"/>
    <w:rsid w:val="00ED0918"/>
    <w:rsid w:val="00ED0CB5"/>
    <w:rsid w:val="00ED0DCB"/>
    <w:rsid w:val="00ED0E57"/>
    <w:rsid w:val="00ED12C3"/>
    <w:rsid w:val="00ED1770"/>
    <w:rsid w:val="00ED1B3C"/>
    <w:rsid w:val="00ED231E"/>
    <w:rsid w:val="00ED25A2"/>
    <w:rsid w:val="00ED260E"/>
    <w:rsid w:val="00ED2B16"/>
    <w:rsid w:val="00ED2F92"/>
    <w:rsid w:val="00ED2FDD"/>
    <w:rsid w:val="00ED3020"/>
    <w:rsid w:val="00ED322B"/>
    <w:rsid w:val="00ED33B0"/>
    <w:rsid w:val="00ED39F8"/>
    <w:rsid w:val="00ED3D7B"/>
    <w:rsid w:val="00ED4193"/>
    <w:rsid w:val="00ED435B"/>
    <w:rsid w:val="00ED43BB"/>
    <w:rsid w:val="00ED4B9F"/>
    <w:rsid w:val="00ED4D9F"/>
    <w:rsid w:val="00ED4E41"/>
    <w:rsid w:val="00ED4F5E"/>
    <w:rsid w:val="00ED4FC8"/>
    <w:rsid w:val="00ED5162"/>
    <w:rsid w:val="00ED51F7"/>
    <w:rsid w:val="00ED559D"/>
    <w:rsid w:val="00ED5900"/>
    <w:rsid w:val="00ED591D"/>
    <w:rsid w:val="00ED5EF2"/>
    <w:rsid w:val="00ED618D"/>
    <w:rsid w:val="00ED6928"/>
    <w:rsid w:val="00ED6B4D"/>
    <w:rsid w:val="00ED7022"/>
    <w:rsid w:val="00ED7403"/>
    <w:rsid w:val="00ED7D63"/>
    <w:rsid w:val="00ED7E31"/>
    <w:rsid w:val="00ED7F8B"/>
    <w:rsid w:val="00EE01F7"/>
    <w:rsid w:val="00EE08DD"/>
    <w:rsid w:val="00EE0991"/>
    <w:rsid w:val="00EE0B5B"/>
    <w:rsid w:val="00EE0BEA"/>
    <w:rsid w:val="00EE13DF"/>
    <w:rsid w:val="00EE193B"/>
    <w:rsid w:val="00EE1A6E"/>
    <w:rsid w:val="00EE1D2B"/>
    <w:rsid w:val="00EE1E1D"/>
    <w:rsid w:val="00EE21BB"/>
    <w:rsid w:val="00EE223A"/>
    <w:rsid w:val="00EE26F1"/>
    <w:rsid w:val="00EE2783"/>
    <w:rsid w:val="00EE27ED"/>
    <w:rsid w:val="00EE28E6"/>
    <w:rsid w:val="00EE2C7B"/>
    <w:rsid w:val="00EE3354"/>
    <w:rsid w:val="00EE3369"/>
    <w:rsid w:val="00EE3415"/>
    <w:rsid w:val="00EE386F"/>
    <w:rsid w:val="00EE3E7D"/>
    <w:rsid w:val="00EE4355"/>
    <w:rsid w:val="00EE487B"/>
    <w:rsid w:val="00EE509B"/>
    <w:rsid w:val="00EE56FD"/>
    <w:rsid w:val="00EE5D7D"/>
    <w:rsid w:val="00EE5EC2"/>
    <w:rsid w:val="00EE6603"/>
    <w:rsid w:val="00EE6889"/>
    <w:rsid w:val="00EE6992"/>
    <w:rsid w:val="00EE6B49"/>
    <w:rsid w:val="00EE6C56"/>
    <w:rsid w:val="00EE6F81"/>
    <w:rsid w:val="00EE718A"/>
    <w:rsid w:val="00EE74BB"/>
    <w:rsid w:val="00EE777D"/>
    <w:rsid w:val="00EE7983"/>
    <w:rsid w:val="00EE7A88"/>
    <w:rsid w:val="00EF0184"/>
    <w:rsid w:val="00EF091C"/>
    <w:rsid w:val="00EF0AD0"/>
    <w:rsid w:val="00EF0D45"/>
    <w:rsid w:val="00EF0D5F"/>
    <w:rsid w:val="00EF111B"/>
    <w:rsid w:val="00EF15F7"/>
    <w:rsid w:val="00EF197D"/>
    <w:rsid w:val="00EF1D23"/>
    <w:rsid w:val="00EF21AB"/>
    <w:rsid w:val="00EF234A"/>
    <w:rsid w:val="00EF2957"/>
    <w:rsid w:val="00EF2D3E"/>
    <w:rsid w:val="00EF2E8F"/>
    <w:rsid w:val="00EF30E6"/>
    <w:rsid w:val="00EF31D8"/>
    <w:rsid w:val="00EF32F5"/>
    <w:rsid w:val="00EF3592"/>
    <w:rsid w:val="00EF37AB"/>
    <w:rsid w:val="00EF3A86"/>
    <w:rsid w:val="00EF3AD3"/>
    <w:rsid w:val="00EF3ADF"/>
    <w:rsid w:val="00EF3B30"/>
    <w:rsid w:val="00EF41C3"/>
    <w:rsid w:val="00EF4305"/>
    <w:rsid w:val="00EF46D9"/>
    <w:rsid w:val="00EF470B"/>
    <w:rsid w:val="00EF4BC5"/>
    <w:rsid w:val="00EF4CEC"/>
    <w:rsid w:val="00EF4F70"/>
    <w:rsid w:val="00EF501D"/>
    <w:rsid w:val="00EF517D"/>
    <w:rsid w:val="00EF5453"/>
    <w:rsid w:val="00EF5821"/>
    <w:rsid w:val="00EF6459"/>
    <w:rsid w:val="00EF65AB"/>
    <w:rsid w:val="00EF6640"/>
    <w:rsid w:val="00EF6658"/>
    <w:rsid w:val="00EF67CD"/>
    <w:rsid w:val="00EF6E64"/>
    <w:rsid w:val="00EF6F1C"/>
    <w:rsid w:val="00EF71DE"/>
    <w:rsid w:val="00EF768D"/>
    <w:rsid w:val="00EF7B96"/>
    <w:rsid w:val="00EF7CA7"/>
    <w:rsid w:val="00EF7F3F"/>
    <w:rsid w:val="00EF7FE9"/>
    <w:rsid w:val="00F0087B"/>
    <w:rsid w:val="00F008A1"/>
    <w:rsid w:val="00F00A6E"/>
    <w:rsid w:val="00F00DF5"/>
    <w:rsid w:val="00F00FF8"/>
    <w:rsid w:val="00F01465"/>
    <w:rsid w:val="00F01809"/>
    <w:rsid w:val="00F01C34"/>
    <w:rsid w:val="00F02AD4"/>
    <w:rsid w:val="00F03027"/>
    <w:rsid w:val="00F03041"/>
    <w:rsid w:val="00F03102"/>
    <w:rsid w:val="00F0326D"/>
    <w:rsid w:val="00F0334D"/>
    <w:rsid w:val="00F03619"/>
    <w:rsid w:val="00F038BF"/>
    <w:rsid w:val="00F03990"/>
    <w:rsid w:val="00F03A28"/>
    <w:rsid w:val="00F03CD4"/>
    <w:rsid w:val="00F040C9"/>
    <w:rsid w:val="00F044F0"/>
    <w:rsid w:val="00F0462F"/>
    <w:rsid w:val="00F04698"/>
    <w:rsid w:val="00F04C15"/>
    <w:rsid w:val="00F04CC1"/>
    <w:rsid w:val="00F04F4F"/>
    <w:rsid w:val="00F05252"/>
    <w:rsid w:val="00F0527F"/>
    <w:rsid w:val="00F0568E"/>
    <w:rsid w:val="00F05D5B"/>
    <w:rsid w:val="00F06009"/>
    <w:rsid w:val="00F06497"/>
    <w:rsid w:val="00F06665"/>
    <w:rsid w:val="00F06790"/>
    <w:rsid w:val="00F0697D"/>
    <w:rsid w:val="00F06B6E"/>
    <w:rsid w:val="00F06C6A"/>
    <w:rsid w:val="00F06E4E"/>
    <w:rsid w:val="00F06EB1"/>
    <w:rsid w:val="00F070DF"/>
    <w:rsid w:val="00F072AE"/>
    <w:rsid w:val="00F072B7"/>
    <w:rsid w:val="00F07490"/>
    <w:rsid w:val="00F0769C"/>
    <w:rsid w:val="00F07E3F"/>
    <w:rsid w:val="00F07E65"/>
    <w:rsid w:val="00F07E8E"/>
    <w:rsid w:val="00F07F4F"/>
    <w:rsid w:val="00F10452"/>
    <w:rsid w:val="00F10693"/>
    <w:rsid w:val="00F109DF"/>
    <w:rsid w:val="00F110C1"/>
    <w:rsid w:val="00F1166C"/>
    <w:rsid w:val="00F11D3D"/>
    <w:rsid w:val="00F11E1A"/>
    <w:rsid w:val="00F12279"/>
    <w:rsid w:val="00F12381"/>
    <w:rsid w:val="00F12456"/>
    <w:rsid w:val="00F129F7"/>
    <w:rsid w:val="00F12B12"/>
    <w:rsid w:val="00F12BB5"/>
    <w:rsid w:val="00F1356B"/>
    <w:rsid w:val="00F135F0"/>
    <w:rsid w:val="00F13864"/>
    <w:rsid w:val="00F138A0"/>
    <w:rsid w:val="00F138A6"/>
    <w:rsid w:val="00F13A76"/>
    <w:rsid w:val="00F13B59"/>
    <w:rsid w:val="00F13DDF"/>
    <w:rsid w:val="00F1439B"/>
    <w:rsid w:val="00F144EA"/>
    <w:rsid w:val="00F1517B"/>
    <w:rsid w:val="00F158E9"/>
    <w:rsid w:val="00F159BB"/>
    <w:rsid w:val="00F15A1A"/>
    <w:rsid w:val="00F15D6B"/>
    <w:rsid w:val="00F15DBA"/>
    <w:rsid w:val="00F1609D"/>
    <w:rsid w:val="00F16112"/>
    <w:rsid w:val="00F16353"/>
    <w:rsid w:val="00F1638B"/>
    <w:rsid w:val="00F163F5"/>
    <w:rsid w:val="00F16941"/>
    <w:rsid w:val="00F1761A"/>
    <w:rsid w:val="00F177A7"/>
    <w:rsid w:val="00F1790E"/>
    <w:rsid w:val="00F179B7"/>
    <w:rsid w:val="00F17C78"/>
    <w:rsid w:val="00F20212"/>
    <w:rsid w:val="00F20396"/>
    <w:rsid w:val="00F206DB"/>
    <w:rsid w:val="00F2071C"/>
    <w:rsid w:val="00F20D04"/>
    <w:rsid w:val="00F20DB0"/>
    <w:rsid w:val="00F221CA"/>
    <w:rsid w:val="00F221F1"/>
    <w:rsid w:val="00F2225C"/>
    <w:rsid w:val="00F22283"/>
    <w:rsid w:val="00F22474"/>
    <w:rsid w:val="00F22E7E"/>
    <w:rsid w:val="00F2360A"/>
    <w:rsid w:val="00F23A6B"/>
    <w:rsid w:val="00F23CC9"/>
    <w:rsid w:val="00F23F00"/>
    <w:rsid w:val="00F244DA"/>
    <w:rsid w:val="00F245CA"/>
    <w:rsid w:val="00F245FB"/>
    <w:rsid w:val="00F248CE"/>
    <w:rsid w:val="00F25258"/>
    <w:rsid w:val="00F252A1"/>
    <w:rsid w:val="00F2566F"/>
    <w:rsid w:val="00F25CCB"/>
    <w:rsid w:val="00F263EC"/>
    <w:rsid w:val="00F26565"/>
    <w:rsid w:val="00F266C4"/>
    <w:rsid w:val="00F26712"/>
    <w:rsid w:val="00F26958"/>
    <w:rsid w:val="00F26E0F"/>
    <w:rsid w:val="00F26EA8"/>
    <w:rsid w:val="00F27314"/>
    <w:rsid w:val="00F27A30"/>
    <w:rsid w:val="00F27BCF"/>
    <w:rsid w:val="00F27C01"/>
    <w:rsid w:val="00F27FE5"/>
    <w:rsid w:val="00F3048C"/>
    <w:rsid w:val="00F304BF"/>
    <w:rsid w:val="00F3066B"/>
    <w:rsid w:val="00F3068D"/>
    <w:rsid w:val="00F30835"/>
    <w:rsid w:val="00F30B80"/>
    <w:rsid w:val="00F31064"/>
    <w:rsid w:val="00F314AA"/>
    <w:rsid w:val="00F31656"/>
    <w:rsid w:val="00F32119"/>
    <w:rsid w:val="00F32B3D"/>
    <w:rsid w:val="00F32FD1"/>
    <w:rsid w:val="00F32FE0"/>
    <w:rsid w:val="00F331AF"/>
    <w:rsid w:val="00F337B4"/>
    <w:rsid w:val="00F33F5A"/>
    <w:rsid w:val="00F33FAA"/>
    <w:rsid w:val="00F34395"/>
    <w:rsid w:val="00F344E0"/>
    <w:rsid w:val="00F347A5"/>
    <w:rsid w:val="00F348C1"/>
    <w:rsid w:val="00F34CE0"/>
    <w:rsid w:val="00F34D39"/>
    <w:rsid w:val="00F35273"/>
    <w:rsid w:val="00F353E6"/>
    <w:rsid w:val="00F35D1A"/>
    <w:rsid w:val="00F360F0"/>
    <w:rsid w:val="00F36227"/>
    <w:rsid w:val="00F365B8"/>
    <w:rsid w:val="00F36E75"/>
    <w:rsid w:val="00F37093"/>
    <w:rsid w:val="00F37181"/>
    <w:rsid w:val="00F3726B"/>
    <w:rsid w:val="00F37431"/>
    <w:rsid w:val="00F37697"/>
    <w:rsid w:val="00F378A4"/>
    <w:rsid w:val="00F379CF"/>
    <w:rsid w:val="00F40059"/>
    <w:rsid w:val="00F40159"/>
    <w:rsid w:val="00F404C2"/>
    <w:rsid w:val="00F405E0"/>
    <w:rsid w:val="00F40A22"/>
    <w:rsid w:val="00F40C26"/>
    <w:rsid w:val="00F4126B"/>
    <w:rsid w:val="00F416A0"/>
    <w:rsid w:val="00F41B4B"/>
    <w:rsid w:val="00F423B8"/>
    <w:rsid w:val="00F4279E"/>
    <w:rsid w:val="00F428F9"/>
    <w:rsid w:val="00F4292F"/>
    <w:rsid w:val="00F42A50"/>
    <w:rsid w:val="00F42C16"/>
    <w:rsid w:val="00F42D36"/>
    <w:rsid w:val="00F4319C"/>
    <w:rsid w:val="00F432A2"/>
    <w:rsid w:val="00F43BED"/>
    <w:rsid w:val="00F43F24"/>
    <w:rsid w:val="00F4415E"/>
    <w:rsid w:val="00F442FA"/>
    <w:rsid w:val="00F4462F"/>
    <w:rsid w:val="00F44C31"/>
    <w:rsid w:val="00F45068"/>
    <w:rsid w:val="00F4520D"/>
    <w:rsid w:val="00F4570A"/>
    <w:rsid w:val="00F45851"/>
    <w:rsid w:val="00F45F48"/>
    <w:rsid w:val="00F46012"/>
    <w:rsid w:val="00F460A0"/>
    <w:rsid w:val="00F46116"/>
    <w:rsid w:val="00F46C2E"/>
    <w:rsid w:val="00F47249"/>
    <w:rsid w:val="00F4735B"/>
    <w:rsid w:val="00F47453"/>
    <w:rsid w:val="00F5013B"/>
    <w:rsid w:val="00F50811"/>
    <w:rsid w:val="00F50A0D"/>
    <w:rsid w:val="00F50ABC"/>
    <w:rsid w:val="00F50AF6"/>
    <w:rsid w:val="00F511E4"/>
    <w:rsid w:val="00F51322"/>
    <w:rsid w:val="00F51331"/>
    <w:rsid w:val="00F5156E"/>
    <w:rsid w:val="00F51860"/>
    <w:rsid w:val="00F51AD1"/>
    <w:rsid w:val="00F51B26"/>
    <w:rsid w:val="00F51F41"/>
    <w:rsid w:val="00F523A3"/>
    <w:rsid w:val="00F52435"/>
    <w:rsid w:val="00F525F1"/>
    <w:rsid w:val="00F52B2A"/>
    <w:rsid w:val="00F52E89"/>
    <w:rsid w:val="00F5335A"/>
    <w:rsid w:val="00F5347B"/>
    <w:rsid w:val="00F5348C"/>
    <w:rsid w:val="00F534B7"/>
    <w:rsid w:val="00F53906"/>
    <w:rsid w:val="00F54184"/>
    <w:rsid w:val="00F543E1"/>
    <w:rsid w:val="00F54701"/>
    <w:rsid w:val="00F54AA6"/>
    <w:rsid w:val="00F54CEC"/>
    <w:rsid w:val="00F54DD2"/>
    <w:rsid w:val="00F5529C"/>
    <w:rsid w:val="00F5549B"/>
    <w:rsid w:val="00F555AE"/>
    <w:rsid w:val="00F55D27"/>
    <w:rsid w:val="00F561A5"/>
    <w:rsid w:val="00F5631B"/>
    <w:rsid w:val="00F56362"/>
    <w:rsid w:val="00F56480"/>
    <w:rsid w:val="00F564EC"/>
    <w:rsid w:val="00F565EF"/>
    <w:rsid w:val="00F568D1"/>
    <w:rsid w:val="00F56E23"/>
    <w:rsid w:val="00F56E7A"/>
    <w:rsid w:val="00F56E90"/>
    <w:rsid w:val="00F57954"/>
    <w:rsid w:val="00F57A57"/>
    <w:rsid w:val="00F57DB7"/>
    <w:rsid w:val="00F57E37"/>
    <w:rsid w:val="00F60251"/>
    <w:rsid w:val="00F60348"/>
    <w:rsid w:val="00F605D4"/>
    <w:rsid w:val="00F60730"/>
    <w:rsid w:val="00F60809"/>
    <w:rsid w:val="00F60885"/>
    <w:rsid w:val="00F60F18"/>
    <w:rsid w:val="00F60F5D"/>
    <w:rsid w:val="00F611EF"/>
    <w:rsid w:val="00F6139D"/>
    <w:rsid w:val="00F613CC"/>
    <w:rsid w:val="00F6167B"/>
    <w:rsid w:val="00F61BF7"/>
    <w:rsid w:val="00F62509"/>
    <w:rsid w:val="00F62532"/>
    <w:rsid w:val="00F6255D"/>
    <w:rsid w:val="00F62B55"/>
    <w:rsid w:val="00F62E01"/>
    <w:rsid w:val="00F63116"/>
    <w:rsid w:val="00F63714"/>
    <w:rsid w:val="00F639EF"/>
    <w:rsid w:val="00F63D72"/>
    <w:rsid w:val="00F63D94"/>
    <w:rsid w:val="00F640EB"/>
    <w:rsid w:val="00F6416B"/>
    <w:rsid w:val="00F6434F"/>
    <w:rsid w:val="00F6452B"/>
    <w:rsid w:val="00F64DD8"/>
    <w:rsid w:val="00F65127"/>
    <w:rsid w:val="00F6528D"/>
    <w:rsid w:val="00F657A2"/>
    <w:rsid w:val="00F65827"/>
    <w:rsid w:val="00F659CC"/>
    <w:rsid w:val="00F66112"/>
    <w:rsid w:val="00F66404"/>
    <w:rsid w:val="00F66473"/>
    <w:rsid w:val="00F66D82"/>
    <w:rsid w:val="00F66EAB"/>
    <w:rsid w:val="00F671EA"/>
    <w:rsid w:val="00F67450"/>
    <w:rsid w:val="00F67740"/>
    <w:rsid w:val="00F67FC2"/>
    <w:rsid w:val="00F7038C"/>
    <w:rsid w:val="00F704E3"/>
    <w:rsid w:val="00F70524"/>
    <w:rsid w:val="00F7066D"/>
    <w:rsid w:val="00F70853"/>
    <w:rsid w:val="00F70A46"/>
    <w:rsid w:val="00F70B68"/>
    <w:rsid w:val="00F70F54"/>
    <w:rsid w:val="00F714AF"/>
    <w:rsid w:val="00F722E9"/>
    <w:rsid w:val="00F724DE"/>
    <w:rsid w:val="00F72904"/>
    <w:rsid w:val="00F72C37"/>
    <w:rsid w:val="00F735DA"/>
    <w:rsid w:val="00F7371E"/>
    <w:rsid w:val="00F73865"/>
    <w:rsid w:val="00F73A79"/>
    <w:rsid w:val="00F73DA8"/>
    <w:rsid w:val="00F74137"/>
    <w:rsid w:val="00F741A4"/>
    <w:rsid w:val="00F74255"/>
    <w:rsid w:val="00F74CFC"/>
    <w:rsid w:val="00F74EDB"/>
    <w:rsid w:val="00F75109"/>
    <w:rsid w:val="00F75633"/>
    <w:rsid w:val="00F75A0F"/>
    <w:rsid w:val="00F75B68"/>
    <w:rsid w:val="00F75BB4"/>
    <w:rsid w:val="00F76415"/>
    <w:rsid w:val="00F76805"/>
    <w:rsid w:val="00F76ADE"/>
    <w:rsid w:val="00F76C24"/>
    <w:rsid w:val="00F76D80"/>
    <w:rsid w:val="00F76D9D"/>
    <w:rsid w:val="00F77627"/>
    <w:rsid w:val="00F77B0E"/>
    <w:rsid w:val="00F77CE5"/>
    <w:rsid w:val="00F804FD"/>
    <w:rsid w:val="00F805EA"/>
    <w:rsid w:val="00F806EF"/>
    <w:rsid w:val="00F80D36"/>
    <w:rsid w:val="00F80D48"/>
    <w:rsid w:val="00F80ED9"/>
    <w:rsid w:val="00F80F19"/>
    <w:rsid w:val="00F81B9A"/>
    <w:rsid w:val="00F81BDB"/>
    <w:rsid w:val="00F81C2F"/>
    <w:rsid w:val="00F81CCE"/>
    <w:rsid w:val="00F821BC"/>
    <w:rsid w:val="00F823D5"/>
    <w:rsid w:val="00F82A83"/>
    <w:rsid w:val="00F82E0D"/>
    <w:rsid w:val="00F82E8D"/>
    <w:rsid w:val="00F830D2"/>
    <w:rsid w:val="00F8321F"/>
    <w:rsid w:val="00F835E4"/>
    <w:rsid w:val="00F837F1"/>
    <w:rsid w:val="00F8389D"/>
    <w:rsid w:val="00F83D37"/>
    <w:rsid w:val="00F83E38"/>
    <w:rsid w:val="00F84807"/>
    <w:rsid w:val="00F84DF3"/>
    <w:rsid w:val="00F8540B"/>
    <w:rsid w:val="00F8571C"/>
    <w:rsid w:val="00F85CE7"/>
    <w:rsid w:val="00F85EF5"/>
    <w:rsid w:val="00F86490"/>
    <w:rsid w:val="00F864C7"/>
    <w:rsid w:val="00F8694B"/>
    <w:rsid w:val="00F879C3"/>
    <w:rsid w:val="00F87D54"/>
    <w:rsid w:val="00F87FDC"/>
    <w:rsid w:val="00F87FF4"/>
    <w:rsid w:val="00F90151"/>
    <w:rsid w:val="00F90157"/>
    <w:rsid w:val="00F9138B"/>
    <w:rsid w:val="00F91A55"/>
    <w:rsid w:val="00F91B23"/>
    <w:rsid w:val="00F91B84"/>
    <w:rsid w:val="00F91DEC"/>
    <w:rsid w:val="00F92271"/>
    <w:rsid w:val="00F9238C"/>
    <w:rsid w:val="00F923E4"/>
    <w:rsid w:val="00F9287F"/>
    <w:rsid w:val="00F92C99"/>
    <w:rsid w:val="00F92E68"/>
    <w:rsid w:val="00F93042"/>
    <w:rsid w:val="00F9316C"/>
    <w:rsid w:val="00F931ED"/>
    <w:rsid w:val="00F93204"/>
    <w:rsid w:val="00F93876"/>
    <w:rsid w:val="00F93A02"/>
    <w:rsid w:val="00F93A23"/>
    <w:rsid w:val="00F93A31"/>
    <w:rsid w:val="00F93F83"/>
    <w:rsid w:val="00F9401E"/>
    <w:rsid w:val="00F9427E"/>
    <w:rsid w:val="00F94377"/>
    <w:rsid w:val="00F94715"/>
    <w:rsid w:val="00F947C1"/>
    <w:rsid w:val="00F94834"/>
    <w:rsid w:val="00F95535"/>
    <w:rsid w:val="00F956AA"/>
    <w:rsid w:val="00F957A0"/>
    <w:rsid w:val="00F95885"/>
    <w:rsid w:val="00F958E1"/>
    <w:rsid w:val="00F968F0"/>
    <w:rsid w:val="00F970C8"/>
    <w:rsid w:val="00F9719E"/>
    <w:rsid w:val="00F9779E"/>
    <w:rsid w:val="00F978B6"/>
    <w:rsid w:val="00F97F36"/>
    <w:rsid w:val="00F97F4A"/>
    <w:rsid w:val="00FA01F4"/>
    <w:rsid w:val="00FA04E6"/>
    <w:rsid w:val="00FA0527"/>
    <w:rsid w:val="00FA05EA"/>
    <w:rsid w:val="00FA0AF8"/>
    <w:rsid w:val="00FA115C"/>
    <w:rsid w:val="00FA129C"/>
    <w:rsid w:val="00FA13D2"/>
    <w:rsid w:val="00FA1478"/>
    <w:rsid w:val="00FA1DDC"/>
    <w:rsid w:val="00FA25E7"/>
    <w:rsid w:val="00FA28E1"/>
    <w:rsid w:val="00FA2CD4"/>
    <w:rsid w:val="00FA3240"/>
    <w:rsid w:val="00FA3265"/>
    <w:rsid w:val="00FA39AE"/>
    <w:rsid w:val="00FA3D55"/>
    <w:rsid w:val="00FA3F09"/>
    <w:rsid w:val="00FA4521"/>
    <w:rsid w:val="00FA4522"/>
    <w:rsid w:val="00FA48F2"/>
    <w:rsid w:val="00FA492E"/>
    <w:rsid w:val="00FA4ABA"/>
    <w:rsid w:val="00FA52FF"/>
    <w:rsid w:val="00FA5374"/>
    <w:rsid w:val="00FA568C"/>
    <w:rsid w:val="00FA5701"/>
    <w:rsid w:val="00FA5887"/>
    <w:rsid w:val="00FA588A"/>
    <w:rsid w:val="00FA5BE1"/>
    <w:rsid w:val="00FA5EA4"/>
    <w:rsid w:val="00FA625C"/>
    <w:rsid w:val="00FA6355"/>
    <w:rsid w:val="00FA6413"/>
    <w:rsid w:val="00FA666E"/>
    <w:rsid w:val="00FA67D1"/>
    <w:rsid w:val="00FA68AC"/>
    <w:rsid w:val="00FA69CA"/>
    <w:rsid w:val="00FA6C5D"/>
    <w:rsid w:val="00FA6F04"/>
    <w:rsid w:val="00FA70F1"/>
    <w:rsid w:val="00FA759A"/>
    <w:rsid w:val="00FA777A"/>
    <w:rsid w:val="00FA77B9"/>
    <w:rsid w:val="00FA7804"/>
    <w:rsid w:val="00FA781A"/>
    <w:rsid w:val="00FB0142"/>
    <w:rsid w:val="00FB01AA"/>
    <w:rsid w:val="00FB0323"/>
    <w:rsid w:val="00FB074C"/>
    <w:rsid w:val="00FB1021"/>
    <w:rsid w:val="00FB10E2"/>
    <w:rsid w:val="00FB13BC"/>
    <w:rsid w:val="00FB1CB2"/>
    <w:rsid w:val="00FB1F4F"/>
    <w:rsid w:val="00FB201C"/>
    <w:rsid w:val="00FB2112"/>
    <w:rsid w:val="00FB229F"/>
    <w:rsid w:val="00FB2438"/>
    <w:rsid w:val="00FB2827"/>
    <w:rsid w:val="00FB2D3C"/>
    <w:rsid w:val="00FB2F7E"/>
    <w:rsid w:val="00FB309A"/>
    <w:rsid w:val="00FB3599"/>
    <w:rsid w:val="00FB380E"/>
    <w:rsid w:val="00FB3A23"/>
    <w:rsid w:val="00FB3C44"/>
    <w:rsid w:val="00FB3D51"/>
    <w:rsid w:val="00FB43B2"/>
    <w:rsid w:val="00FB453F"/>
    <w:rsid w:val="00FB483B"/>
    <w:rsid w:val="00FB48A2"/>
    <w:rsid w:val="00FB4A1B"/>
    <w:rsid w:val="00FB4A2A"/>
    <w:rsid w:val="00FB4A2E"/>
    <w:rsid w:val="00FB5132"/>
    <w:rsid w:val="00FB526D"/>
    <w:rsid w:val="00FB52EE"/>
    <w:rsid w:val="00FB54C7"/>
    <w:rsid w:val="00FB55BD"/>
    <w:rsid w:val="00FB582D"/>
    <w:rsid w:val="00FB598D"/>
    <w:rsid w:val="00FB5C62"/>
    <w:rsid w:val="00FB5DBE"/>
    <w:rsid w:val="00FB608E"/>
    <w:rsid w:val="00FB62E3"/>
    <w:rsid w:val="00FB6566"/>
    <w:rsid w:val="00FB662C"/>
    <w:rsid w:val="00FB6C1D"/>
    <w:rsid w:val="00FB6C54"/>
    <w:rsid w:val="00FB6D38"/>
    <w:rsid w:val="00FB70D3"/>
    <w:rsid w:val="00FB7237"/>
    <w:rsid w:val="00FB73CF"/>
    <w:rsid w:val="00FB758E"/>
    <w:rsid w:val="00FB75F2"/>
    <w:rsid w:val="00FB777F"/>
    <w:rsid w:val="00FB77A0"/>
    <w:rsid w:val="00FB7B96"/>
    <w:rsid w:val="00FB7D62"/>
    <w:rsid w:val="00FC03FC"/>
    <w:rsid w:val="00FC0B35"/>
    <w:rsid w:val="00FC0BDF"/>
    <w:rsid w:val="00FC0C1D"/>
    <w:rsid w:val="00FC0DFA"/>
    <w:rsid w:val="00FC1059"/>
    <w:rsid w:val="00FC129E"/>
    <w:rsid w:val="00FC15B0"/>
    <w:rsid w:val="00FC19A7"/>
    <w:rsid w:val="00FC1B34"/>
    <w:rsid w:val="00FC2158"/>
    <w:rsid w:val="00FC2432"/>
    <w:rsid w:val="00FC2530"/>
    <w:rsid w:val="00FC28E5"/>
    <w:rsid w:val="00FC2C53"/>
    <w:rsid w:val="00FC2EA1"/>
    <w:rsid w:val="00FC2F8D"/>
    <w:rsid w:val="00FC337B"/>
    <w:rsid w:val="00FC3469"/>
    <w:rsid w:val="00FC38A9"/>
    <w:rsid w:val="00FC38FE"/>
    <w:rsid w:val="00FC3A75"/>
    <w:rsid w:val="00FC3AEC"/>
    <w:rsid w:val="00FC3C9B"/>
    <w:rsid w:val="00FC3D0D"/>
    <w:rsid w:val="00FC3E16"/>
    <w:rsid w:val="00FC42B9"/>
    <w:rsid w:val="00FC45B0"/>
    <w:rsid w:val="00FC4977"/>
    <w:rsid w:val="00FC4A57"/>
    <w:rsid w:val="00FC5888"/>
    <w:rsid w:val="00FC5CAB"/>
    <w:rsid w:val="00FC5EA0"/>
    <w:rsid w:val="00FC6033"/>
    <w:rsid w:val="00FC6512"/>
    <w:rsid w:val="00FC6B4F"/>
    <w:rsid w:val="00FC7041"/>
    <w:rsid w:val="00FC7807"/>
    <w:rsid w:val="00FC79F0"/>
    <w:rsid w:val="00FD084F"/>
    <w:rsid w:val="00FD0FBC"/>
    <w:rsid w:val="00FD1071"/>
    <w:rsid w:val="00FD1583"/>
    <w:rsid w:val="00FD205C"/>
    <w:rsid w:val="00FD2250"/>
    <w:rsid w:val="00FD2758"/>
    <w:rsid w:val="00FD277F"/>
    <w:rsid w:val="00FD29D3"/>
    <w:rsid w:val="00FD2E2D"/>
    <w:rsid w:val="00FD3BB4"/>
    <w:rsid w:val="00FD3C22"/>
    <w:rsid w:val="00FD3DE0"/>
    <w:rsid w:val="00FD4358"/>
    <w:rsid w:val="00FD43E2"/>
    <w:rsid w:val="00FD47F3"/>
    <w:rsid w:val="00FD53AD"/>
    <w:rsid w:val="00FD56FF"/>
    <w:rsid w:val="00FD5C90"/>
    <w:rsid w:val="00FD62CC"/>
    <w:rsid w:val="00FD6836"/>
    <w:rsid w:val="00FD68EA"/>
    <w:rsid w:val="00FD6E62"/>
    <w:rsid w:val="00FD71D4"/>
    <w:rsid w:val="00FD7230"/>
    <w:rsid w:val="00FD73D9"/>
    <w:rsid w:val="00FD754D"/>
    <w:rsid w:val="00FD7788"/>
    <w:rsid w:val="00FD78D6"/>
    <w:rsid w:val="00FD7C0A"/>
    <w:rsid w:val="00FE024B"/>
    <w:rsid w:val="00FE051A"/>
    <w:rsid w:val="00FE068B"/>
    <w:rsid w:val="00FE06B0"/>
    <w:rsid w:val="00FE0A89"/>
    <w:rsid w:val="00FE0BEF"/>
    <w:rsid w:val="00FE0DBA"/>
    <w:rsid w:val="00FE0ED0"/>
    <w:rsid w:val="00FE0EE2"/>
    <w:rsid w:val="00FE146F"/>
    <w:rsid w:val="00FE153A"/>
    <w:rsid w:val="00FE1598"/>
    <w:rsid w:val="00FE1724"/>
    <w:rsid w:val="00FE1CBB"/>
    <w:rsid w:val="00FE1DE6"/>
    <w:rsid w:val="00FE1EC1"/>
    <w:rsid w:val="00FE1EF7"/>
    <w:rsid w:val="00FE2065"/>
    <w:rsid w:val="00FE20FD"/>
    <w:rsid w:val="00FE2203"/>
    <w:rsid w:val="00FE22A7"/>
    <w:rsid w:val="00FE2561"/>
    <w:rsid w:val="00FE2690"/>
    <w:rsid w:val="00FE26C1"/>
    <w:rsid w:val="00FE2A82"/>
    <w:rsid w:val="00FE3242"/>
    <w:rsid w:val="00FE3579"/>
    <w:rsid w:val="00FE3615"/>
    <w:rsid w:val="00FE364C"/>
    <w:rsid w:val="00FE3A08"/>
    <w:rsid w:val="00FE3A8C"/>
    <w:rsid w:val="00FE3CB4"/>
    <w:rsid w:val="00FE4016"/>
    <w:rsid w:val="00FE40A7"/>
    <w:rsid w:val="00FE4B4C"/>
    <w:rsid w:val="00FE4F22"/>
    <w:rsid w:val="00FE50B5"/>
    <w:rsid w:val="00FE522D"/>
    <w:rsid w:val="00FE52AE"/>
    <w:rsid w:val="00FE5459"/>
    <w:rsid w:val="00FE592B"/>
    <w:rsid w:val="00FE5EF7"/>
    <w:rsid w:val="00FE60B9"/>
    <w:rsid w:val="00FE670B"/>
    <w:rsid w:val="00FE688C"/>
    <w:rsid w:val="00FE6EC6"/>
    <w:rsid w:val="00FE72C3"/>
    <w:rsid w:val="00FE73D0"/>
    <w:rsid w:val="00FE75D5"/>
    <w:rsid w:val="00FE769F"/>
    <w:rsid w:val="00FE7F13"/>
    <w:rsid w:val="00FF017D"/>
    <w:rsid w:val="00FF05EC"/>
    <w:rsid w:val="00FF08F1"/>
    <w:rsid w:val="00FF0E46"/>
    <w:rsid w:val="00FF0EE3"/>
    <w:rsid w:val="00FF127A"/>
    <w:rsid w:val="00FF1D88"/>
    <w:rsid w:val="00FF1DCC"/>
    <w:rsid w:val="00FF2164"/>
    <w:rsid w:val="00FF2350"/>
    <w:rsid w:val="00FF2AD7"/>
    <w:rsid w:val="00FF2BD8"/>
    <w:rsid w:val="00FF2CE1"/>
    <w:rsid w:val="00FF2FAF"/>
    <w:rsid w:val="00FF304F"/>
    <w:rsid w:val="00FF3133"/>
    <w:rsid w:val="00FF31D5"/>
    <w:rsid w:val="00FF3414"/>
    <w:rsid w:val="00FF3427"/>
    <w:rsid w:val="00FF35FA"/>
    <w:rsid w:val="00FF39D8"/>
    <w:rsid w:val="00FF3A2C"/>
    <w:rsid w:val="00FF3B32"/>
    <w:rsid w:val="00FF3DDC"/>
    <w:rsid w:val="00FF41B2"/>
    <w:rsid w:val="00FF41D7"/>
    <w:rsid w:val="00FF43E5"/>
    <w:rsid w:val="00FF4693"/>
    <w:rsid w:val="00FF4B96"/>
    <w:rsid w:val="00FF4D01"/>
    <w:rsid w:val="00FF4D9B"/>
    <w:rsid w:val="00FF5620"/>
    <w:rsid w:val="00FF583D"/>
    <w:rsid w:val="00FF5B75"/>
    <w:rsid w:val="00FF5D9C"/>
    <w:rsid w:val="00FF5F39"/>
    <w:rsid w:val="00FF5F4B"/>
    <w:rsid w:val="00FF6597"/>
    <w:rsid w:val="00FF66B6"/>
    <w:rsid w:val="00FF6CE7"/>
    <w:rsid w:val="00FF6D21"/>
    <w:rsid w:val="00FF7040"/>
    <w:rsid w:val="00FF74FF"/>
    <w:rsid w:val="00FF7509"/>
    <w:rsid w:val="00FF7CD9"/>
    <w:rsid w:val="00FF7DD1"/>
    <w:rsid w:val="00FF7FA7"/>
    <w:rsid w:val="012B2226"/>
    <w:rsid w:val="0170EF1F"/>
    <w:rsid w:val="017BD208"/>
    <w:rsid w:val="01816CF1"/>
    <w:rsid w:val="019B1935"/>
    <w:rsid w:val="01C0C20C"/>
    <w:rsid w:val="01E3C428"/>
    <w:rsid w:val="01E6FA89"/>
    <w:rsid w:val="01F03C23"/>
    <w:rsid w:val="0266A08F"/>
    <w:rsid w:val="0271362F"/>
    <w:rsid w:val="028C9846"/>
    <w:rsid w:val="028D0631"/>
    <w:rsid w:val="02BCC614"/>
    <w:rsid w:val="02C72F25"/>
    <w:rsid w:val="02FDD644"/>
    <w:rsid w:val="032862A4"/>
    <w:rsid w:val="035DD7CF"/>
    <w:rsid w:val="0396E925"/>
    <w:rsid w:val="03976C26"/>
    <w:rsid w:val="044D4366"/>
    <w:rsid w:val="04BF7099"/>
    <w:rsid w:val="04D2F18E"/>
    <w:rsid w:val="04EB41B4"/>
    <w:rsid w:val="0513717D"/>
    <w:rsid w:val="051A472A"/>
    <w:rsid w:val="0586761B"/>
    <w:rsid w:val="05877747"/>
    <w:rsid w:val="058B7E88"/>
    <w:rsid w:val="05C86952"/>
    <w:rsid w:val="05F008E9"/>
    <w:rsid w:val="05F7E8E3"/>
    <w:rsid w:val="061BC2DB"/>
    <w:rsid w:val="0636144F"/>
    <w:rsid w:val="066687CB"/>
    <w:rsid w:val="066C70BD"/>
    <w:rsid w:val="0672D944"/>
    <w:rsid w:val="0689B0C7"/>
    <w:rsid w:val="06A8E360"/>
    <w:rsid w:val="06D5AD36"/>
    <w:rsid w:val="0727A81E"/>
    <w:rsid w:val="079D912E"/>
    <w:rsid w:val="07B77824"/>
    <w:rsid w:val="08000ABD"/>
    <w:rsid w:val="082922FD"/>
    <w:rsid w:val="082CF5D3"/>
    <w:rsid w:val="088B00D9"/>
    <w:rsid w:val="093DE911"/>
    <w:rsid w:val="097A0B8A"/>
    <w:rsid w:val="0989DDEE"/>
    <w:rsid w:val="09CFD3C4"/>
    <w:rsid w:val="09D8C1EE"/>
    <w:rsid w:val="09E31024"/>
    <w:rsid w:val="0A1158B3"/>
    <w:rsid w:val="0A3697CE"/>
    <w:rsid w:val="0AA00921"/>
    <w:rsid w:val="0AAEAF9C"/>
    <w:rsid w:val="0AB2702B"/>
    <w:rsid w:val="0B2173C7"/>
    <w:rsid w:val="0B4DF4F3"/>
    <w:rsid w:val="0B82E23C"/>
    <w:rsid w:val="0B90AF54"/>
    <w:rsid w:val="0BA8E181"/>
    <w:rsid w:val="0BB026D3"/>
    <w:rsid w:val="0BB3F011"/>
    <w:rsid w:val="0BCCFC3C"/>
    <w:rsid w:val="0BCD02F2"/>
    <w:rsid w:val="0C297933"/>
    <w:rsid w:val="0C3461E8"/>
    <w:rsid w:val="0C6AAB5A"/>
    <w:rsid w:val="0C6F2BB5"/>
    <w:rsid w:val="0C816248"/>
    <w:rsid w:val="0C9B204D"/>
    <w:rsid w:val="0C9D385D"/>
    <w:rsid w:val="0CAC43F1"/>
    <w:rsid w:val="0CB8E2E4"/>
    <w:rsid w:val="0CC869B4"/>
    <w:rsid w:val="0CCF574C"/>
    <w:rsid w:val="0CCFD643"/>
    <w:rsid w:val="0CDBC3E9"/>
    <w:rsid w:val="0CFBCB53"/>
    <w:rsid w:val="0D981FB8"/>
    <w:rsid w:val="0DEF999A"/>
    <w:rsid w:val="0E220C27"/>
    <w:rsid w:val="0E77944A"/>
    <w:rsid w:val="0E9752C4"/>
    <w:rsid w:val="0EE0535B"/>
    <w:rsid w:val="0EE5A6B1"/>
    <w:rsid w:val="0F475094"/>
    <w:rsid w:val="0F939FF1"/>
    <w:rsid w:val="0FA0D640"/>
    <w:rsid w:val="0FD53333"/>
    <w:rsid w:val="0FD87113"/>
    <w:rsid w:val="0FE4EFA9"/>
    <w:rsid w:val="102376C6"/>
    <w:rsid w:val="102525E9"/>
    <w:rsid w:val="10688B8B"/>
    <w:rsid w:val="108B0B96"/>
    <w:rsid w:val="1098AD3F"/>
    <w:rsid w:val="10A8EB0E"/>
    <w:rsid w:val="10D85C68"/>
    <w:rsid w:val="10DF0FAE"/>
    <w:rsid w:val="1150F2D3"/>
    <w:rsid w:val="116376AD"/>
    <w:rsid w:val="11887A11"/>
    <w:rsid w:val="1190D08A"/>
    <w:rsid w:val="11952908"/>
    <w:rsid w:val="11A920FB"/>
    <w:rsid w:val="11C84A74"/>
    <w:rsid w:val="11FFCC7A"/>
    <w:rsid w:val="12139B96"/>
    <w:rsid w:val="12763C70"/>
    <w:rsid w:val="12E55873"/>
    <w:rsid w:val="12F177C0"/>
    <w:rsid w:val="1364FB1C"/>
    <w:rsid w:val="139417BC"/>
    <w:rsid w:val="1449A56E"/>
    <w:rsid w:val="14ABBCEE"/>
    <w:rsid w:val="14BB5467"/>
    <w:rsid w:val="14C5C3C4"/>
    <w:rsid w:val="151E5789"/>
    <w:rsid w:val="1520B9CF"/>
    <w:rsid w:val="15339651"/>
    <w:rsid w:val="1589FD8F"/>
    <w:rsid w:val="1595BCA1"/>
    <w:rsid w:val="15EC0693"/>
    <w:rsid w:val="1607D201"/>
    <w:rsid w:val="160D23D6"/>
    <w:rsid w:val="1645EC1F"/>
    <w:rsid w:val="165C31A3"/>
    <w:rsid w:val="16697DD2"/>
    <w:rsid w:val="16FE01B3"/>
    <w:rsid w:val="1731B3F6"/>
    <w:rsid w:val="17329819"/>
    <w:rsid w:val="1738FB8A"/>
    <w:rsid w:val="17891281"/>
    <w:rsid w:val="179C2DC2"/>
    <w:rsid w:val="17EC7AC3"/>
    <w:rsid w:val="17F553E5"/>
    <w:rsid w:val="17F6B4E4"/>
    <w:rsid w:val="18267338"/>
    <w:rsid w:val="182F8DAF"/>
    <w:rsid w:val="18475D89"/>
    <w:rsid w:val="18608597"/>
    <w:rsid w:val="18EEB2C1"/>
    <w:rsid w:val="191652AF"/>
    <w:rsid w:val="1931F4D8"/>
    <w:rsid w:val="1935955E"/>
    <w:rsid w:val="19382CF4"/>
    <w:rsid w:val="198420A5"/>
    <w:rsid w:val="198A8A12"/>
    <w:rsid w:val="19CA2C0B"/>
    <w:rsid w:val="19D713EA"/>
    <w:rsid w:val="1A02A22F"/>
    <w:rsid w:val="1A2AF56E"/>
    <w:rsid w:val="1A2B21B1"/>
    <w:rsid w:val="1A2E637A"/>
    <w:rsid w:val="1A5BFF50"/>
    <w:rsid w:val="1A603BE4"/>
    <w:rsid w:val="1AAAD6AA"/>
    <w:rsid w:val="1AD8C4DD"/>
    <w:rsid w:val="1AEB9B98"/>
    <w:rsid w:val="1B265A73"/>
    <w:rsid w:val="1B4F88E0"/>
    <w:rsid w:val="1B5502BB"/>
    <w:rsid w:val="1BB2BFDF"/>
    <w:rsid w:val="1BCEE899"/>
    <w:rsid w:val="1BD03B3C"/>
    <w:rsid w:val="1BDD7B51"/>
    <w:rsid w:val="1C112FCB"/>
    <w:rsid w:val="1C133A99"/>
    <w:rsid w:val="1C446AC2"/>
    <w:rsid w:val="1C777F5C"/>
    <w:rsid w:val="1C878D1C"/>
    <w:rsid w:val="1CA83262"/>
    <w:rsid w:val="1CB90E34"/>
    <w:rsid w:val="1CC22AD4"/>
    <w:rsid w:val="1CDF8F59"/>
    <w:rsid w:val="1D96835B"/>
    <w:rsid w:val="1DC49BFA"/>
    <w:rsid w:val="1DC61787"/>
    <w:rsid w:val="1E0B6F46"/>
    <w:rsid w:val="1E16B805"/>
    <w:rsid w:val="1E37B594"/>
    <w:rsid w:val="1E3D2DE1"/>
    <w:rsid w:val="1E7952AD"/>
    <w:rsid w:val="1E90111F"/>
    <w:rsid w:val="1E9699E6"/>
    <w:rsid w:val="1EAE6B72"/>
    <w:rsid w:val="1F4700BC"/>
    <w:rsid w:val="1F61C6E5"/>
    <w:rsid w:val="1F6246C7"/>
    <w:rsid w:val="1F9824F6"/>
    <w:rsid w:val="1FB31803"/>
    <w:rsid w:val="1FCC5EF9"/>
    <w:rsid w:val="1FCED302"/>
    <w:rsid w:val="1FF01849"/>
    <w:rsid w:val="1FF15D87"/>
    <w:rsid w:val="202F986C"/>
    <w:rsid w:val="20605AB9"/>
    <w:rsid w:val="2087A2EC"/>
    <w:rsid w:val="2096418B"/>
    <w:rsid w:val="20BCF0A0"/>
    <w:rsid w:val="20E685FE"/>
    <w:rsid w:val="20F24A28"/>
    <w:rsid w:val="2103A282"/>
    <w:rsid w:val="218967FE"/>
    <w:rsid w:val="218E2EE7"/>
    <w:rsid w:val="21A84B9B"/>
    <w:rsid w:val="21C5D5D0"/>
    <w:rsid w:val="2263E1BD"/>
    <w:rsid w:val="228FDE95"/>
    <w:rsid w:val="229D64D6"/>
    <w:rsid w:val="22A74EFD"/>
    <w:rsid w:val="22C21308"/>
    <w:rsid w:val="22CCA209"/>
    <w:rsid w:val="236B2112"/>
    <w:rsid w:val="23788738"/>
    <w:rsid w:val="23A01634"/>
    <w:rsid w:val="23B87A1E"/>
    <w:rsid w:val="23CA3FC5"/>
    <w:rsid w:val="23D1961C"/>
    <w:rsid w:val="23D41BD7"/>
    <w:rsid w:val="2447E398"/>
    <w:rsid w:val="244A4C3A"/>
    <w:rsid w:val="2467B150"/>
    <w:rsid w:val="24E8DBAC"/>
    <w:rsid w:val="2541F73C"/>
    <w:rsid w:val="2553246C"/>
    <w:rsid w:val="25C24843"/>
    <w:rsid w:val="25C28DA4"/>
    <w:rsid w:val="25E4E04F"/>
    <w:rsid w:val="25F73D18"/>
    <w:rsid w:val="2602923D"/>
    <w:rsid w:val="262AA5B3"/>
    <w:rsid w:val="267EF626"/>
    <w:rsid w:val="2695E1D7"/>
    <w:rsid w:val="26D7B6F6"/>
    <w:rsid w:val="26D8736C"/>
    <w:rsid w:val="272985D9"/>
    <w:rsid w:val="272B91F4"/>
    <w:rsid w:val="2750A931"/>
    <w:rsid w:val="277067E7"/>
    <w:rsid w:val="2770A531"/>
    <w:rsid w:val="27AC12A4"/>
    <w:rsid w:val="27BE4CC2"/>
    <w:rsid w:val="27D65521"/>
    <w:rsid w:val="27DD11F8"/>
    <w:rsid w:val="285CAD39"/>
    <w:rsid w:val="286E0E09"/>
    <w:rsid w:val="28A9295C"/>
    <w:rsid w:val="28AB9528"/>
    <w:rsid w:val="28FCB30B"/>
    <w:rsid w:val="2918AD13"/>
    <w:rsid w:val="2948E8C2"/>
    <w:rsid w:val="2980AAD2"/>
    <w:rsid w:val="29B31C7E"/>
    <w:rsid w:val="29EB607C"/>
    <w:rsid w:val="2A075DDB"/>
    <w:rsid w:val="2A53889E"/>
    <w:rsid w:val="2A5752C5"/>
    <w:rsid w:val="2AB1CA57"/>
    <w:rsid w:val="2AD13637"/>
    <w:rsid w:val="2AE70AD1"/>
    <w:rsid w:val="2AEAB054"/>
    <w:rsid w:val="2AEB320E"/>
    <w:rsid w:val="2B4F6377"/>
    <w:rsid w:val="2B6A343C"/>
    <w:rsid w:val="2B870C91"/>
    <w:rsid w:val="2C0AE593"/>
    <w:rsid w:val="2C13B94E"/>
    <w:rsid w:val="2C3EFCF7"/>
    <w:rsid w:val="2C420A28"/>
    <w:rsid w:val="2C4CE38C"/>
    <w:rsid w:val="2C943F18"/>
    <w:rsid w:val="2CA238B3"/>
    <w:rsid w:val="2CA3451C"/>
    <w:rsid w:val="2CFE84F2"/>
    <w:rsid w:val="2D6399FA"/>
    <w:rsid w:val="2D74A5CC"/>
    <w:rsid w:val="2D89C675"/>
    <w:rsid w:val="2DA1694E"/>
    <w:rsid w:val="2DB9D9A0"/>
    <w:rsid w:val="2DF5AB56"/>
    <w:rsid w:val="2E67CE6B"/>
    <w:rsid w:val="2E77A2E7"/>
    <w:rsid w:val="2EA017D5"/>
    <w:rsid w:val="2EE0C8ED"/>
    <w:rsid w:val="2F5B2AD6"/>
    <w:rsid w:val="2F786500"/>
    <w:rsid w:val="2F7ADCBF"/>
    <w:rsid w:val="304904D4"/>
    <w:rsid w:val="306E1446"/>
    <w:rsid w:val="30BAA402"/>
    <w:rsid w:val="30F5321C"/>
    <w:rsid w:val="30F6FB37"/>
    <w:rsid w:val="311FD9A5"/>
    <w:rsid w:val="3171AB8F"/>
    <w:rsid w:val="31C1FC18"/>
    <w:rsid w:val="31C23CBB"/>
    <w:rsid w:val="31EF5BE8"/>
    <w:rsid w:val="32010EFB"/>
    <w:rsid w:val="320D6355"/>
    <w:rsid w:val="322809E1"/>
    <w:rsid w:val="32574AEA"/>
    <w:rsid w:val="32879F35"/>
    <w:rsid w:val="3292CB98"/>
    <w:rsid w:val="32C0E035"/>
    <w:rsid w:val="32DBDBD6"/>
    <w:rsid w:val="32F18D08"/>
    <w:rsid w:val="330A1CDE"/>
    <w:rsid w:val="3317A53D"/>
    <w:rsid w:val="3318963D"/>
    <w:rsid w:val="334E4CB0"/>
    <w:rsid w:val="334F8880"/>
    <w:rsid w:val="338431E4"/>
    <w:rsid w:val="33DCD7FF"/>
    <w:rsid w:val="33FE5693"/>
    <w:rsid w:val="342CD591"/>
    <w:rsid w:val="343B1C0B"/>
    <w:rsid w:val="343E2A7A"/>
    <w:rsid w:val="3479C5EF"/>
    <w:rsid w:val="3490D494"/>
    <w:rsid w:val="34C88119"/>
    <w:rsid w:val="34CD9079"/>
    <w:rsid w:val="34E8215D"/>
    <w:rsid w:val="352DE8D1"/>
    <w:rsid w:val="354672C9"/>
    <w:rsid w:val="354EE00A"/>
    <w:rsid w:val="3582B464"/>
    <w:rsid w:val="35F0B62F"/>
    <w:rsid w:val="360332C8"/>
    <w:rsid w:val="362312D4"/>
    <w:rsid w:val="365642C3"/>
    <w:rsid w:val="369D99A7"/>
    <w:rsid w:val="36B1AB82"/>
    <w:rsid w:val="36B9744A"/>
    <w:rsid w:val="36EAB06B"/>
    <w:rsid w:val="370031F3"/>
    <w:rsid w:val="3730D474"/>
    <w:rsid w:val="37538090"/>
    <w:rsid w:val="3759CB7A"/>
    <w:rsid w:val="378164E9"/>
    <w:rsid w:val="3791024D"/>
    <w:rsid w:val="37A773FD"/>
    <w:rsid w:val="38135340"/>
    <w:rsid w:val="382B6CCC"/>
    <w:rsid w:val="3860C5F1"/>
    <w:rsid w:val="38749EEB"/>
    <w:rsid w:val="3879DE22"/>
    <w:rsid w:val="38849430"/>
    <w:rsid w:val="396B4B5B"/>
    <w:rsid w:val="396C113C"/>
    <w:rsid w:val="397DA5F4"/>
    <w:rsid w:val="39CEAF1D"/>
    <w:rsid w:val="3A1180E3"/>
    <w:rsid w:val="3A492885"/>
    <w:rsid w:val="3AAC768C"/>
    <w:rsid w:val="3AC456D7"/>
    <w:rsid w:val="3B07E19D"/>
    <w:rsid w:val="3B11A229"/>
    <w:rsid w:val="3B3E0373"/>
    <w:rsid w:val="3B4AC74F"/>
    <w:rsid w:val="3B7B5DD3"/>
    <w:rsid w:val="3B8B56C4"/>
    <w:rsid w:val="3B947F35"/>
    <w:rsid w:val="3BC60E19"/>
    <w:rsid w:val="3BF6AADF"/>
    <w:rsid w:val="3C3147E4"/>
    <w:rsid w:val="3C42358D"/>
    <w:rsid w:val="3C5D24E3"/>
    <w:rsid w:val="3C6C97CE"/>
    <w:rsid w:val="3C764263"/>
    <w:rsid w:val="3C781458"/>
    <w:rsid w:val="3C855F9D"/>
    <w:rsid w:val="3C9CC192"/>
    <w:rsid w:val="3CB075CC"/>
    <w:rsid w:val="3CB75F7E"/>
    <w:rsid w:val="3CBAE9FB"/>
    <w:rsid w:val="3CBCEB2E"/>
    <w:rsid w:val="3D41CD6B"/>
    <w:rsid w:val="3D7EB650"/>
    <w:rsid w:val="3DB24A11"/>
    <w:rsid w:val="3DC2F517"/>
    <w:rsid w:val="3DC411A6"/>
    <w:rsid w:val="3DF56176"/>
    <w:rsid w:val="3E05AF60"/>
    <w:rsid w:val="3E1B448A"/>
    <w:rsid w:val="3E239612"/>
    <w:rsid w:val="3EBA6F2A"/>
    <w:rsid w:val="3ECF1C1B"/>
    <w:rsid w:val="3EDCE6A0"/>
    <w:rsid w:val="3EEBB9BF"/>
    <w:rsid w:val="3F04AC9E"/>
    <w:rsid w:val="3F1E3B92"/>
    <w:rsid w:val="3F2B79CD"/>
    <w:rsid w:val="3F4176DA"/>
    <w:rsid w:val="3F4BD637"/>
    <w:rsid w:val="3F743772"/>
    <w:rsid w:val="3FFB72A6"/>
    <w:rsid w:val="3FFE3DAA"/>
    <w:rsid w:val="404421A5"/>
    <w:rsid w:val="40CED585"/>
    <w:rsid w:val="40F24075"/>
    <w:rsid w:val="41216C56"/>
    <w:rsid w:val="4129A2DE"/>
    <w:rsid w:val="41500881"/>
    <w:rsid w:val="416DC9F4"/>
    <w:rsid w:val="416ED3E5"/>
    <w:rsid w:val="417DB9FC"/>
    <w:rsid w:val="419B7383"/>
    <w:rsid w:val="41EE89A0"/>
    <w:rsid w:val="4249E20E"/>
    <w:rsid w:val="42C545BF"/>
    <w:rsid w:val="430ED41B"/>
    <w:rsid w:val="431896D8"/>
    <w:rsid w:val="432572C5"/>
    <w:rsid w:val="43299054"/>
    <w:rsid w:val="4342AB7E"/>
    <w:rsid w:val="4388CB96"/>
    <w:rsid w:val="43B9C623"/>
    <w:rsid w:val="441F2625"/>
    <w:rsid w:val="4422F434"/>
    <w:rsid w:val="444F4BE3"/>
    <w:rsid w:val="4477E09D"/>
    <w:rsid w:val="4485B63F"/>
    <w:rsid w:val="44866249"/>
    <w:rsid w:val="44C8603A"/>
    <w:rsid w:val="45171865"/>
    <w:rsid w:val="4534EC6B"/>
    <w:rsid w:val="4552418A"/>
    <w:rsid w:val="45575EA4"/>
    <w:rsid w:val="458192F4"/>
    <w:rsid w:val="4587751A"/>
    <w:rsid w:val="45B43677"/>
    <w:rsid w:val="45FBD66B"/>
    <w:rsid w:val="46149BD2"/>
    <w:rsid w:val="461E3713"/>
    <w:rsid w:val="465E834F"/>
    <w:rsid w:val="466174B1"/>
    <w:rsid w:val="4675F262"/>
    <w:rsid w:val="469BBD87"/>
    <w:rsid w:val="46B06BD1"/>
    <w:rsid w:val="46B5EC72"/>
    <w:rsid w:val="46E23EAE"/>
    <w:rsid w:val="4713AB32"/>
    <w:rsid w:val="472E7D26"/>
    <w:rsid w:val="4744379A"/>
    <w:rsid w:val="47515FA9"/>
    <w:rsid w:val="476AD93F"/>
    <w:rsid w:val="479143AD"/>
    <w:rsid w:val="4840310F"/>
    <w:rsid w:val="488F8DBC"/>
    <w:rsid w:val="489C24DB"/>
    <w:rsid w:val="48A73C05"/>
    <w:rsid w:val="48AA1381"/>
    <w:rsid w:val="48B16142"/>
    <w:rsid w:val="48C602D6"/>
    <w:rsid w:val="48C99DB8"/>
    <w:rsid w:val="48EE7613"/>
    <w:rsid w:val="48F9253B"/>
    <w:rsid w:val="4919993D"/>
    <w:rsid w:val="493BEBBC"/>
    <w:rsid w:val="49664D8B"/>
    <w:rsid w:val="498248D3"/>
    <w:rsid w:val="499E3EC7"/>
    <w:rsid w:val="49BB8DBC"/>
    <w:rsid w:val="4A0A7061"/>
    <w:rsid w:val="4A5CF56D"/>
    <w:rsid w:val="4A7FFEC3"/>
    <w:rsid w:val="4AA64C84"/>
    <w:rsid w:val="4AABBF36"/>
    <w:rsid w:val="4AD9B8D1"/>
    <w:rsid w:val="4B23EC97"/>
    <w:rsid w:val="4B4AE5B7"/>
    <w:rsid w:val="4B9C95C7"/>
    <w:rsid w:val="4BA993DD"/>
    <w:rsid w:val="4BB28DA7"/>
    <w:rsid w:val="4BCA887D"/>
    <w:rsid w:val="4BD0ED05"/>
    <w:rsid w:val="4C6C24D2"/>
    <w:rsid w:val="4C6D63E1"/>
    <w:rsid w:val="4C84994A"/>
    <w:rsid w:val="4CA8822A"/>
    <w:rsid w:val="4D28B60F"/>
    <w:rsid w:val="4D294DB7"/>
    <w:rsid w:val="4D5F98CA"/>
    <w:rsid w:val="4D973F39"/>
    <w:rsid w:val="4DD749FC"/>
    <w:rsid w:val="4E292626"/>
    <w:rsid w:val="4E29B1F4"/>
    <w:rsid w:val="4E59C3F4"/>
    <w:rsid w:val="4E9802CF"/>
    <w:rsid w:val="4EBE319A"/>
    <w:rsid w:val="4F40F81D"/>
    <w:rsid w:val="4F4C0BF2"/>
    <w:rsid w:val="4F4FD39D"/>
    <w:rsid w:val="4F54484C"/>
    <w:rsid w:val="4F592DAE"/>
    <w:rsid w:val="4FBCA622"/>
    <w:rsid w:val="4FEE6D3B"/>
    <w:rsid w:val="501C9EEF"/>
    <w:rsid w:val="50255057"/>
    <w:rsid w:val="502CD6F0"/>
    <w:rsid w:val="5039E545"/>
    <w:rsid w:val="509024B2"/>
    <w:rsid w:val="50CE9006"/>
    <w:rsid w:val="512F67C9"/>
    <w:rsid w:val="5132F019"/>
    <w:rsid w:val="514E386C"/>
    <w:rsid w:val="5166FC22"/>
    <w:rsid w:val="5192BAC9"/>
    <w:rsid w:val="51976629"/>
    <w:rsid w:val="51B89040"/>
    <w:rsid w:val="51D0C9E0"/>
    <w:rsid w:val="51F06D88"/>
    <w:rsid w:val="51F8AB1C"/>
    <w:rsid w:val="522119A0"/>
    <w:rsid w:val="525DF853"/>
    <w:rsid w:val="528E98A0"/>
    <w:rsid w:val="52B6955E"/>
    <w:rsid w:val="535324CF"/>
    <w:rsid w:val="5355F5FC"/>
    <w:rsid w:val="53668F30"/>
    <w:rsid w:val="53A67114"/>
    <w:rsid w:val="54022536"/>
    <w:rsid w:val="544F6525"/>
    <w:rsid w:val="547A6711"/>
    <w:rsid w:val="5483960F"/>
    <w:rsid w:val="54AFFD73"/>
    <w:rsid w:val="54C0F6CA"/>
    <w:rsid w:val="54FD177F"/>
    <w:rsid w:val="5516E22F"/>
    <w:rsid w:val="556AFF17"/>
    <w:rsid w:val="55896321"/>
    <w:rsid w:val="559B57BE"/>
    <w:rsid w:val="55FB62C2"/>
    <w:rsid w:val="55FCFCD1"/>
    <w:rsid w:val="55FEFBC1"/>
    <w:rsid w:val="56283A2C"/>
    <w:rsid w:val="564644EC"/>
    <w:rsid w:val="5689F1DD"/>
    <w:rsid w:val="569D4428"/>
    <w:rsid w:val="56C82CB4"/>
    <w:rsid w:val="56CA1573"/>
    <w:rsid w:val="56E9D1EB"/>
    <w:rsid w:val="57728AAD"/>
    <w:rsid w:val="57E3F75A"/>
    <w:rsid w:val="57E49E08"/>
    <w:rsid w:val="57F64C34"/>
    <w:rsid w:val="57FB423D"/>
    <w:rsid w:val="58245BF4"/>
    <w:rsid w:val="5859A2C7"/>
    <w:rsid w:val="58868183"/>
    <w:rsid w:val="58964CAD"/>
    <w:rsid w:val="58AAEFCC"/>
    <w:rsid w:val="58B0384B"/>
    <w:rsid w:val="58C7F51B"/>
    <w:rsid w:val="597B0ED3"/>
    <w:rsid w:val="59AADC54"/>
    <w:rsid w:val="59E7C9AC"/>
    <w:rsid w:val="5A433731"/>
    <w:rsid w:val="5A784C86"/>
    <w:rsid w:val="5AB1CB2A"/>
    <w:rsid w:val="5AFF3B8D"/>
    <w:rsid w:val="5B4C869F"/>
    <w:rsid w:val="5B82A3DF"/>
    <w:rsid w:val="5BAD9D37"/>
    <w:rsid w:val="5BD9F86F"/>
    <w:rsid w:val="5C043D88"/>
    <w:rsid w:val="5C11A736"/>
    <w:rsid w:val="5C314D4D"/>
    <w:rsid w:val="5C4A7ADB"/>
    <w:rsid w:val="5CA81010"/>
    <w:rsid w:val="5CD50592"/>
    <w:rsid w:val="5CD6651D"/>
    <w:rsid w:val="5CFC9A34"/>
    <w:rsid w:val="5D7F3302"/>
    <w:rsid w:val="5DB2DAE6"/>
    <w:rsid w:val="5DDF3F90"/>
    <w:rsid w:val="5DE920BE"/>
    <w:rsid w:val="5E0984DE"/>
    <w:rsid w:val="5E0B846D"/>
    <w:rsid w:val="5E1275A9"/>
    <w:rsid w:val="5E3AD556"/>
    <w:rsid w:val="5E3C2665"/>
    <w:rsid w:val="5E67B2FA"/>
    <w:rsid w:val="5E7E7CEA"/>
    <w:rsid w:val="5E922A61"/>
    <w:rsid w:val="5E958225"/>
    <w:rsid w:val="5EFB2375"/>
    <w:rsid w:val="5FA195CB"/>
    <w:rsid w:val="5FD15150"/>
    <w:rsid w:val="60347EBB"/>
    <w:rsid w:val="6042541D"/>
    <w:rsid w:val="608E0037"/>
    <w:rsid w:val="60A9E318"/>
    <w:rsid w:val="60B913FD"/>
    <w:rsid w:val="60C1B5BB"/>
    <w:rsid w:val="60F72470"/>
    <w:rsid w:val="6147CBB5"/>
    <w:rsid w:val="6153FB15"/>
    <w:rsid w:val="615F051D"/>
    <w:rsid w:val="6189FD97"/>
    <w:rsid w:val="618D99F7"/>
    <w:rsid w:val="61DFFEA7"/>
    <w:rsid w:val="623AD55A"/>
    <w:rsid w:val="62405137"/>
    <w:rsid w:val="6259D134"/>
    <w:rsid w:val="6272CA85"/>
    <w:rsid w:val="6286C931"/>
    <w:rsid w:val="62933FF7"/>
    <w:rsid w:val="629DB9E2"/>
    <w:rsid w:val="62A5A236"/>
    <w:rsid w:val="62F12487"/>
    <w:rsid w:val="6300B42B"/>
    <w:rsid w:val="6358C1E2"/>
    <w:rsid w:val="63813E12"/>
    <w:rsid w:val="63BF38CD"/>
    <w:rsid w:val="64337A04"/>
    <w:rsid w:val="64CCE97D"/>
    <w:rsid w:val="64DB9EE0"/>
    <w:rsid w:val="64ECA4BD"/>
    <w:rsid w:val="65003C32"/>
    <w:rsid w:val="65155F98"/>
    <w:rsid w:val="655A80EE"/>
    <w:rsid w:val="6584C752"/>
    <w:rsid w:val="659E19AA"/>
    <w:rsid w:val="65B495F7"/>
    <w:rsid w:val="65BFB01C"/>
    <w:rsid w:val="65F8710F"/>
    <w:rsid w:val="65FEF6CA"/>
    <w:rsid w:val="66025C2C"/>
    <w:rsid w:val="6655F9C1"/>
    <w:rsid w:val="667BD665"/>
    <w:rsid w:val="67074FA2"/>
    <w:rsid w:val="671BF838"/>
    <w:rsid w:val="6751D6F8"/>
    <w:rsid w:val="67739AA3"/>
    <w:rsid w:val="67A483BD"/>
    <w:rsid w:val="67C1D8A8"/>
    <w:rsid w:val="681D0F65"/>
    <w:rsid w:val="683F39A9"/>
    <w:rsid w:val="6850EB08"/>
    <w:rsid w:val="685AD4EE"/>
    <w:rsid w:val="688F0396"/>
    <w:rsid w:val="68A1094C"/>
    <w:rsid w:val="68DCF21E"/>
    <w:rsid w:val="69035B37"/>
    <w:rsid w:val="690C2666"/>
    <w:rsid w:val="690E70A3"/>
    <w:rsid w:val="6928519C"/>
    <w:rsid w:val="699B76F7"/>
    <w:rsid w:val="69BA49F5"/>
    <w:rsid w:val="69C8F05E"/>
    <w:rsid w:val="69DA6C74"/>
    <w:rsid w:val="6A092957"/>
    <w:rsid w:val="6A0B005F"/>
    <w:rsid w:val="6A1E88CA"/>
    <w:rsid w:val="6A21D142"/>
    <w:rsid w:val="6A65A03A"/>
    <w:rsid w:val="6A7F3FB9"/>
    <w:rsid w:val="6AAAEB32"/>
    <w:rsid w:val="6AE3B2C3"/>
    <w:rsid w:val="6AEFFAD6"/>
    <w:rsid w:val="6B25AF09"/>
    <w:rsid w:val="6B29CA2C"/>
    <w:rsid w:val="6B4B1A87"/>
    <w:rsid w:val="6B6DB890"/>
    <w:rsid w:val="6B6ECC9C"/>
    <w:rsid w:val="6BA52652"/>
    <w:rsid w:val="6BAF12A1"/>
    <w:rsid w:val="6CBDC665"/>
    <w:rsid w:val="6CD9416C"/>
    <w:rsid w:val="6D015627"/>
    <w:rsid w:val="6D0D5145"/>
    <w:rsid w:val="6D9676BF"/>
    <w:rsid w:val="6DC04698"/>
    <w:rsid w:val="6E303556"/>
    <w:rsid w:val="6E3CD36A"/>
    <w:rsid w:val="6E5FFC1D"/>
    <w:rsid w:val="6E6C5BC4"/>
    <w:rsid w:val="6E94E6BE"/>
    <w:rsid w:val="6EBDD921"/>
    <w:rsid w:val="6F7EB8E4"/>
    <w:rsid w:val="6F95F485"/>
    <w:rsid w:val="7025DDFF"/>
    <w:rsid w:val="70418F55"/>
    <w:rsid w:val="704BAA29"/>
    <w:rsid w:val="704C1648"/>
    <w:rsid w:val="70714887"/>
    <w:rsid w:val="70856CAE"/>
    <w:rsid w:val="70A1A501"/>
    <w:rsid w:val="70A6FB8E"/>
    <w:rsid w:val="70A8A1D2"/>
    <w:rsid w:val="70B4ACBB"/>
    <w:rsid w:val="70C780E1"/>
    <w:rsid w:val="70DA0D22"/>
    <w:rsid w:val="712855F4"/>
    <w:rsid w:val="715C8F11"/>
    <w:rsid w:val="7186EFEC"/>
    <w:rsid w:val="71A7FDFC"/>
    <w:rsid w:val="71C3F1AF"/>
    <w:rsid w:val="725C9379"/>
    <w:rsid w:val="72A12BFB"/>
    <w:rsid w:val="72CDD208"/>
    <w:rsid w:val="72D8B05A"/>
    <w:rsid w:val="72E30FAB"/>
    <w:rsid w:val="72EA4632"/>
    <w:rsid w:val="72ED040E"/>
    <w:rsid w:val="72FDD61B"/>
    <w:rsid w:val="730B85BA"/>
    <w:rsid w:val="7330CFFD"/>
    <w:rsid w:val="733F34E9"/>
    <w:rsid w:val="734CADD9"/>
    <w:rsid w:val="738C56D8"/>
    <w:rsid w:val="73E578A3"/>
    <w:rsid w:val="73E67AC2"/>
    <w:rsid w:val="73EAFC13"/>
    <w:rsid w:val="742BA212"/>
    <w:rsid w:val="7472A1DF"/>
    <w:rsid w:val="74DA32DB"/>
    <w:rsid w:val="74DD4143"/>
    <w:rsid w:val="756AD53B"/>
    <w:rsid w:val="756BC9B6"/>
    <w:rsid w:val="7599ADC6"/>
    <w:rsid w:val="75E27C26"/>
    <w:rsid w:val="7621253B"/>
    <w:rsid w:val="765E67DE"/>
    <w:rsid w:val="76D7401F"/>
    <w:rsid w:val="7743BB06"/>
    <w:rsid w:val="7750D55F"/>
    <w:rsid w:val="77515F24"/>
    <w:rsid w:val="777AAC6E"/>
    <w:rsid w:val="77A06C5D"/>
    <w:rsid w:val="77EE181E"/>
    <w:rsid w:val="781A446C"/>
    <w:rsid w:val="78292E72"/>
    <w:rsid w:val="78A1EB60"/>
    <w:rsid w:val="79816087"/>
    <w:rsid w:val="79E9FED8"/>
    <w:rsid w:val="79F5027D"/>
    <w:rsid w:val="7A257E83"/>
    <w:rsid w:val="7A9B5AF1"/>
    <w:rsid w:val="7AA564FA"/>
    <w:rsid w:val="7AB1B42E"/>
    <w:rsid w:val="7AB4A9E5"/>
    <w:rsid w:val="7AB8C1C6"/>
    <w:rsid w:val="7B049776"/>
    <w:rsid w:val="7B105095"/>
    <w:rsid w:val="7B66EBB0"/>
    <w:rsid w:val="7B724B53"/>
    <w:rsid w:val="7B7776E0"/>
    <w:rsid w:val="7B83163B"/>
    <w:rsid w:val="7B832772"/>
    <w:rsid w:val="7BAC5CE8"/>
    <w:rsid w:val="7BC953EA"/>
    <w:rsid w:val="7C4D848F"/>
    <w:rsid w:val="7C6C2CD4"/>
    <w:rsid w:val="7C71E3E1"/>
    <w:rsid w:val="7C9CF1E2"/>
    <w:rsid w:val="7CA34094"/>
    <w:rsid w:val="7CC13AFC"/>
    <w:rsid w:val="7CDB7827"/>
    <w:rsid w:val="7D147FFC"/>
    <w:rsid w:val="7D343F0B"/>
    <w:rsid w:val="7D364221"/>
    <w:rsid w:val="7DB9809B"/>
    <w:rsid w:val="7E0440E1"/>
    <w:rsid w:val="7E2BBF13"/>
    <w:rsid w:val="7E3DA1EF"/>
    <w:rsid w:val="7E722CDA"/>
    <w:rsid w:val="7EBA3DCB"/>
    <w:rsid w:val="7ED539E7"/>
    <w:rsid w:val="7F2E8DF3"/>
    <w:rsid w:val="7F5A0EDF"/>
    <w:rsid w:val="7F7215A0"/>
    <w:rsid w:val="7FAE3DDF"/>
    <w:rsid w:val="7FB03C73"/>
    <w:rsid w:val="7FC23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5B368"/>
  <w15:chartTrackingRefBased/>
  <w15:docId w15:val="{45C6A2FB-DE10-44BC-8980-A2710E0D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A8"/>
    <w:rPr>
      <w:rFonts w:ascii="Arial" w:hAnsi="Arial"/>
      <w:sz w:val="24"/>
    </w:rPr>
  </w:style>
  <w:style w:type="paragraph" w:styleId="Heading1">
    <w:name w:val="heading 1"/>
    <w:basedOn w:val="Normal"/>
    <w:next w:val="Normal"/>
    <w:link w:val="Heading1Char"/>
    <w:uiPriority w:val="9"/>
    <w:qFormat/>
    <w:rsid w:val="000A33F0"/>
    <w:pPr>
      <w:keepNext/>
      <w:keepLines/>
      <w:spacing w:after="0" w:line="36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0BEF"/>
    <w:pPr>
      <w:keepNext/>
      <w:keepLines/>
      <w:spacing w:after="0" w:line="360" w:lineRule="auto"/>
      <w:outlineLvl w:val="1"/>
    </w:pPr>
    <w:rPr>
      <w:rFonts w:eastAsiaTheme="majorEastAsia" w:cstheme="majorBidi"/>
      <w:b/>
      <w:color w:val="1F3864" w:themeColor="accent1" w:themeShade="80"/>
      <w:szCs w:val="26"/>
    </w:rPr>
  </w:style>
  <w:style w:type="paragraph" w:styleId="Heading3">
    <w:name w:val="heading 3"/>
    <w:basedOn w:val="Normal"/>
    <w:next w:val="Normal"/>
    <w:link w:val="Heading3Char"/>
    <w:uiPriority w:val="9"/>
    <w:unhideWhenUsed/>
    <w:qFormat/>
    <w:rsid w:val="00633FD9"/>
    <w:pPr>
      <w:keepNext/>
      <w:keepLines/>
      <w:spacing w:line="276" w:lineRule="auto"/>
      <w:outlineLvl w:val="2"/>
    </w:pPr>
    <w:rPr>
      <w:rFonts w:eastAsiaTheme="majorEastAsia" w:cstheme="majorBidi"/>
      <w:color w:val="2F5496" w:themeColor="accent1" w:themeShade="BF"/>
      <w:szCs w:val="24"/>
    </w:rPr>
  </w:style>
  <w:style w:type="paragraph" w:styleId="Heading4">
    <w:name w:val="heading 4"/>
    <w:basedOn w:val="Normal"/>
    <w:next w:val="Normal"/>
    <w:link w:val="Heading4Char"/>
    <w:uiPriority w:val="9"/>
    <w:unhideWhenUsed/>
    <w:qFormat/>
    <w:rsid w:val="00D221EA"/>
    <w:pPr>
      <w:keepNext/>
      <w:keepLines/>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B35111"/>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3A42B6"/>
    <w:pPr>
      <w:keepNext/>
      <w:keepLines/>
      <w:spacing w:before="40" w:after="0"/>
      <w:outlineLvl w:val="5"/>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C81"/>
    <w:pPr>
      <w:spacing w:after="0" w:line="240" w:lineRule="auto"/>
    </w:pPr>
    <w:rPr>
      <w:rFonts w:ascii="Arial" w:hAnsi="Arial"/>
      <w:sz w:val="24"/>
    </w:rPr>
  </w:style>
  <w:style w:type="character" w:customStyle="1" w:styleId="Heading1Char">
    <w:name w:val="Heading 1 Char"/>
    <w:basedOn w:val="DefaultParagraphFont"/>
    <w:link w:val="Heading1"/>
    <w:uiPriority w:val="9"/>
    <w:rsid w:val="000A33F0"/>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9E0BEF"/>
    <w:rPr>
      <w:rFonts w:ascii="Arial" w:eastAsiaTheme="majorEastAsia" w:hAnsi="Arial" w:cstheme="majorBidi"/>
      <w:b/>
      <w:color w:val="1F3864" w:themeColor="accent1" w:themeShade="80"/>
      <w:sz w:val="24"/>
      <w:szCs w:val="26"/>
    </w:rPr>
  </w:style>
  <w:style w:type="character" w:customStyle="1" w:styleId="Heading3Char">
    <w:name w:val="Heading 3 Char"/>
    <w:basedOn w:val="DefaultParagraphFont"/>
    <w:link w:val="Heading3"/>
    <w:uiPriority w:val="9"/>
    <w:rsid w:val="00633FD9"/>
    <w:rPr>
      <w:rFonts w:ascii="Arial" w:eastAsiaTheme="majorEastAsia" w:hAnsi="Arial" w:cstheme="majorBidi"/>
      <w:color w:val="2F5496" w:themeColor="accent1" w:themeShade="BF"/>
      <w:sz w:val="24"/>
      <w:szCs w:val="24"/>
    </w:rPr>
  </w:style>
  <w:style w:type="character" w:customStyle="1" w:styleId="Heading4Char">
    <w:name w:val="Heading 4 Char"/>
    <w:basedOn w:val="DefaultParagraphFont"/>
    <w:link w:val="Heading4"/>
    <w:uiPriority w:val="9"/>
    <w:rsid w:val="00D221EA"/>
    <w:rPr>
      <w:rFonts w:ascii="Arial" w:eastAsiaTheme="majorEastAsia" w:hAnsi="Arial" w:cstheme="majorBidi"/>
      <w:b/>
      <w:i/>
      <w:iCs/>
      <w:sz w:val="24"/>
    </w:rPr>
  </w:style>
  <w:style w:type="paragraph" w:styleId="Title">
    <w:name w:val="Title"/>
    <w:basedOn w:val="Normal"/>
    <w:next w:val="Normal"/>
    <w:link w:val="TitleChar"/>
    <w:uiPriority w:val="10"/>
    <w:qFormat/>
    <w:rsid w:val="00356C8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6C8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56C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6C81"/>
    <w:rPr>
      <w:rFonts w:eastAsiaTheme="minorEastAsia"/>
      <w:color w:val="5A5A5A" w:themeColor="text1" w:themeTint="A5"/>
      <w:spacing w:val="15"/>
    </w:rPr>
  </w:style>
  <w:style w:type="character" w:styleId="SubtleEmphasis">
    <w:name w:val="Subtle Emphasis"/>
    <w:basedOn w:val="DefaultParagraphFont"/>
    <w:uiPriority w:val="19"/>
    <w:qFormat/>
    <w:rsid w:val="00356C81"/>
    <w:rPr>
      <w:i/>
      <w:iCs/>
      <w:color w:val="404040" w:themeColor="text1" w:themeTint="BF"/>
    </w:rPr>
  </w:style>
  <w:style w:type="character" w:styleId="Emphasis">
    <w:name w:val="Emphasis"/>
    <w:basedOn w:val="DefaultParagraphFont"/>
    <w:uiPriority w:val="20"/>
    <w:qFormat/>
    <w:rsid w:val="00356C81"/>
    <w:rPr>
      <w:i/>
      <w:iCs/>
    </w:rPr>
  </w:style>
  <w:style w:type="character" w:customStyle="1" w:styleId="Heading5Char">
    <w:name w:val="Heading 5 Char"/>
    <w:basedOn w:val="DefaultParagraphFont"/>
    <w:link w:val="Heading5"/>
    <w:uiPriority w:val="9"/>
    <w:rsid w:val="00B35111"/>
    <w:rPr>
      <w:rFonts w:ascii="Arial" w:eastAsiaTheme="majorEastAsia" w:hAnsi="Arial" w:cstheme="majorBidi"/>
      <w:sz w:val="24"/>
    </w:rPr>
  </w:style>
  <w:style w:type="character" w:styleId="IntenseEmphasis">
    <w:name w:val="Intense Emphasis"/>
    <w:basedOn w:val="DefaultParagraphFont"/>
    <w:uiPriority w:val="21"/>
    <w:qFormat/>
    <w:rsid w:val="00356C81"/>
    <w:rPr>
      <w:i/>
      <w:iCs/>
      <w:color w:val="4472C4" w:themeColor="accent1"/>
    </w:rPr>
  </w:style>
  <w:style w:type="character" w:styleId="Strong">
    <w:name w:val="Strong"/>
    <w:basedOn w:val="DefaultParagraphFont"/>
    <w:uiPriority w:val="22"/>
    <w:qFormat/>
    <w:rsid w:val="00356C81"/>
    <w:rPr>
      <w:b/>
      <w:bCs/>
    </w:rPr>
  </w:style>
  <w:style w:type="paragraph" w:styleId="Quote">
    <w:name w:val="Quote"/>
    <w:basedOn w:val="Normal"/>
    <w:next w:val="Normal"/>
    <w:link w:val="QuoteChar"/>
    <w:uiPriority w:val="29"/>
    <w:qFormat/>
    <w:rsid w:val="00356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6C81"/>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356C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6C81"/>
    <w:rPr>
      <w:rFonts w:ascii="Arial" w:hAnsi="Arial"/>
      <w:i/>
      <w:iCs/>
      <w:color w:val="4472C4" w:themeColor="accent1"/>
      <w:sz w:val="24"/>
    </w:rPr>
  </w:style>
  <w:style w:type="character" w:styleId="SubtleReference">
    <w:name w:val="Subtle Reference"/>
    <w:basedOn w:val="DefaultParagraphFont"/>
    <w:uiPriority w:val="31"/>
    <w:qFormat/>
    <w:rsid w:val="00356C81"/>
    <w:rPr>
      <w:smallCaps/>
      <w:color w:val="5A5A5A" w:themeColor="text1" w:themeTint="A5"/>
    </w:rPr>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L"/>
    <w:basedOn w:val="Normal"/>
    <w:link w:val="ListParagraphChar"/>
    <w:uiPriority w:val="34"/>
    <w:qFormat/>
    <w:rsid w:val="007A2568"/>
    <w:pPr>
      <w:ind w:left="720"/>
      <w:contextualSpacing/>
    </w:pPr>
  </w:style>
  <w:style w:type="paragraph" w:customStyle="1" w:styleId="Default">
    <w:name w:val="Default"/>
    <w:rsid w:val="00B22B8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22B83"/>
    <w:rPr>
      <w:sz w:val="16"/>
      <w:szCs w:val="16"/>
    </w:rPr>
  </w:style>
  <w:style w:type="paragraph" w:styleId="CommentText">
    <w:name w:val="annotation text"/>
    <w:basedOn w:val="Normal"/>
    <w:link w:val="CommentTextChar"/>
    <w:uiPriority w:val="99"/>
    <w:unhideWhenUsed/>
    <w:rsid w:val="00B22B83"/>
    <w:pPr>
      <w:spacing w:line="240" w:lineRule="auto"/>
    </w:pPr>
    <w:rPr>
      <w:sz w:val="20"/>
      <w:szCs w:val="20"/>
    </w:rPr>
  </w:style>
  <w:style w:type="character" w:customStyle="1" w:styleId="CommentTextChar">
    <w:name w:val="Comment Text Char"/>
    <w:basedOn w:val="DefaultParagraphFont"/>
    <w:link w:val="CommentText"/>
    <w:uiPriority w:val="99"/>
    <w:rsid w:val="00B22B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2B83"/>
    <w:rPr>
      <w:b/>
      <w:bCs/>
    </w:rPr>
  </w:style>
  <w:style w:type="character" w:customStyle="1" w:styleId="CommentSubjectChar">
    <w:name w:val="Comment Subject Char"/>
    <w:basedOn w:val="CommentTextChar"/>
    <w:link w:val="CommentSubject"/>
    <w:uiPriority w:val="99"/>
    <w:semiHidden/>
    <w:rsid w:val="00B22B83"/>
    <w:rPr>
      <w:rFonts w:ascii="Arial" w:hAnsi="Arial"/>
      <w:b/>
      <w:bCs/>
      <w:sz w:val="20"/>
      <w:szCs w:val="20"/>
    </w:rPr>
  </w:style>
  <w:style w:type="paragraph" w:styleId="BalloonText">
    <w:name w:val="Balloon Text"/>
    <w:basedOn w:val="Normal"/>
    <w:link w:val="BalloonTextChar"/>
    <w:uiPriority w:val="99"/>
    <w:semiHidden/>
    <w:unhideWhenUsed/>
    <w:rsid w:val="00B2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B83"/>
    <w:rPr>
      <w:rFonts w:ascii="Segoe UI" w:hAnsi="Segoe UI" w:cs="Segoe UI"/>
      <w:sz w:val="18"/>
      <w:szCs w:val="18"/>
    </w:rPr>
  </w:style>
  <w:style w:type="table" w:styleId="TableGrid">
    <w:name w:val="Table Grid"/>
    <w:basedOn w:val="TableNormal"/>
    <w:uiPriority w:val="39"/>
    <w:rsid w:val="0061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7DB4"/>
    <w:pPr>
      <w:spacing w:after="0" w:line="240" w:lineRule="auto"/>
    </w:pPr>
    <w:rPr>
      <w:rFonts w:ascii="Arial" w:hAnsi="Arial"/>
      <w:sz w:val="24"/>
    </w:rPr>
  </w:style>
  <w:style w:type="paragraph" w:styleId="Header">
    <w:name w:val="header"/>
    <w:basedOn w:val="Normal"/>
    <w:link w:val="HeaderChar"/>
    <w:uiPriority w:val="99"/>
    <w:unhideWhenUsed/>
    <w:rsid w:val="0089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658"/>
    <w:rPr>
      <w:rFonts w:ascii="Arial" w:hAnsi="Arial"/>
      <w:sz w:val="24"/>
    </w:rPr>
  </w:style>
  <w:style w:type="paragraph" w:styleId="Footer">
    <w:name w:val="footer"/>
    <w:basedOn w:val="Normal"/>
    <w:link w:val="FooterChar"/>
    <w:uiPriority w:val="99"/>
    <w:unhideWhenUsed/>
    <w:rsid w:val="0089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658"/>
    <w:rPr>
      <w:rFonts w:ascii="Arial" w:hAnsi="Arial"/>
      <w:sz w:val="24"/>
    </w:rPr>
  </w:style>
  <w:style w:type="paragraph" w:styleId="FootnoteText">
    <w:name w:val="footnote text"/>
    <w:basedOn w:val="Normal"/>
    <w:link w:val="FootnoteTextChar"/>
    <w:uiPriority w:val="99"/>
    <w:unhideWhenUsed/>
    <w:rsid w:val="00106AA7"/>
    <w:pPr>
      <w:spacing w:after="0" w:line="240" w:lineRule="auto"/>
    </w:pPr>
    <w:rPr>
      <w:sz w:val="20"/>
      <w:szCs w:val="20"/>
    </w:rPr>
  </w:style>
  <w:style w:type="character" w:customStyle="1" w:styleId="FootnoteTextChar">
    <w:name w:val="Footnote Text Char"/>
    <w:basedOn w:val="DefaultParagraphFont"/>
    <w:link w:val="FootnoteText"/>
    <w:uiPriority w:val="99"/>
    <w:rsid w:val="00106AA7"/>
    <w:rPr>
      <w:rFonts w:ascii="Arial" w:hAnsi="Arial"/>
      <w:sz w:val="20"/>
      <w:szCs w:val="20"/>
    </w:rPr>
  </w:style>
  <w:style w:type="character" w:styleId="FootnoteReference">
    <w:name w:val="footnote reference"/>
    <w:basedOn w:val="DefaultParagraphFont"/>
    <w:uiPriority w:val="99"/>
    <w:semiHidden/>
    <w:unhideWhenUsed/>
    <w:rsid w:val="00106AA7"/>
    <w:rPr>
      <w:vertAlign w:val="superscript"/>
    </w:rPr>
  </w:style>
  <w:style w:type="character" w:styleId="Hyperlink">
    <w:name w:val="Hyperlink"/>
    <w:basedOn w:val="DefaultParagraphFont"/>
    <w:uiPriority w:val="99"/>
    <w:unhideWhenUsed/>
    <w:rsid w:val="00106AA7"/>
    <w:rPr>
      <w:color w:val="0563C1" w:themeColor="hyperlink"/>
      <w:u w:val="single"/>
    </w:rPr>
  </w:style>
  <w:style w:type="character" w:customStyle="1" w:styleId="UnresolvedMention1">
    <w:name w:val="Unresolved Mention1"/>
    <w:basedOn w:val="DefaultParagraphFont"/>
    <w:uiPriority w:val="99"/>
    <w:semiHidden/>
    <w:unhideWhenUsed/>
    <w:rsid w:val="00106AA7"/>
    <w:rPr>
      <w:color w:val="605E5C"/>
      <w:shd w:val="clear" w:color="auto" w:fill="E1DFDD"/>
    </w:rPr>
  </w:style>
  <w:style w:type="character" w:styleId="UnresolvedMention">
    <w:name w:val="Unresolved Mention"/>
    <w:basedOn w:val="DefaultParagraphFont"/>
    <w:uiPriority w:val="99"/>
    <w:unhideWhenUsed/>
    <w:rsid w:val="00094FCB"/>
    <w:rPr>
      <w:color w:val="605E5C"/>
      <w:shd w:val="clear" w:color="auto" w:fill="E1DFDD"/>
    </w:rPr>
  </w:style>
  <w:style w:type="character" w:styleId="FollowedHyperlink">
    <w:name w:val="FollowedHyperlink"/>
    <w:basedOn w:val="DefaultParagraphFont"/>
    <w:uiPriority w:val="99"/>
    <w:semiHidden/>
    <w:unhideWhenUsed/>
    <w:rsid w:val="00D31CD5"/>
    <w:rPr>
      <w:color w:val="954F72" w:themeColor="followedHyperlink"/>
      <w:u w:val="single"/>
    </w:rPr>
  </w:style>
  <w:style w:type="character" w:customStyle="1" w:styleId="Heading6Char">
    <w:name w:val="Heading 6 Char"/>
    <w:basedOn w:val="DefaultParagraphFont"/>
    <w:link w:val="Heading6"/>
    <w:uiPriority w:val="9"/>
    <w:rsid w:val="003A42B6"/>
    <w:rPr>
      <w:rFonts w:ascii="Arial" w:eastAsiaTheme="majorEastAsia" w:hAnsi="Arial" w:cstheme="majorBidi"/>
      <w:sz w:val="24"/>
      <w:u w:val="single"/>
    </w:rPr>
  </w:style>
  <w:style w:type="paragraph" w:customStyle="1" w:styleId="paragraph">
    <w:name w:val="paragraph"/>
    <w:basedOn w:val="Normal"/>
    <w:rsid w:val="00F3066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3066B"/>
  </w:style>
  <w:style w:type="character" w:customStyle="1" w:styleId="eop">
    <w:name w:val="eop"/>
    <w:basedOn w:val="DefaultParagraphFont"/>
    <w:rsid w:val="00F3066B"/>
  </w:style>
  <w:style w:type="character" w:styleId="PlaceholderText">
    <w:name w:val="Placeholder Text"/>
    <w:basedOn w:val="DefaultParagraphFont"/>
    <w:uiPriority w:val="99"/>
    <w:semiHidden/>
    <w:rsid w:val="00E11146"/>
    <w:rPr>
      <w:color w:val="808080"/>
    </w:rPr>
  </w:style>
  <w:style w:type="character" w:styleId="Mention">
    <w:name w:val="Mention"/>
    <w:basedOn w:val="DefaultParagraphFont"/>
    <w:uiPriority w:val="99"/>
    <w:unhideWhenUsed/>
    <w:rsid w:val="00DA3933"/>
    <w:rPr>
      <w:color w:val="2B579A"/>
      <w:shd w:val="clear" w:color="auto" w:fill="E1DFDD"/>
    </w:rPr>
  </w:style>
  <w:style w:type="character" w:customStyle="1" w:styleId="ui-provider">
    <w:name w:val="ui-provider"/>
    <w:basedOn w:val="DefaultParagraphFont"/>
    <w:rsid w:val="00E951EA"/>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L Char"/>
    <w:link w:val="ListParagraph"/>
    <w:uiPriority w:val="34"/>
    <w:qFormat/>
    <w:locked/>
    <w:rsid w:val="00AB56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5297">
      <w:bodyDiv w:val="1"/>
      <w:marLeft w:val="0"/>
      <w:marRight w:val="0"/>
      <w:marTop w:val="0"/>
      <w:marBottom w:val="0"/>
      <w:divBdr>
        <w:top w:val="none" w:sz="0" w:space="0" w:color="auto"/>
        <w:left w:val="none" w:sz="0" w:space="0" w:color="auto"/>
        <w:bottom w:val="none" w:sz="0" w:space="0" w:color="auto"/>
        <w:right w:val="none" w:sz="0" w:space="0" w:color="auto"/>
      </w:divBdr>
    </w:div>
    <w:div w:id="198662890">
      <w:bodyDiv w:val="1"/>
      <w:marLeft w:val="0"/>
      <w:marRight w:val="0"/>
      <w:marTop w:val="0"/>
      <w:marBottom w:val="0"/>
      <w:divBdr>
        <w:top w:val="none" w:sz="0" w:space="0" w:color="auto"/>
        <w:left w:val="none" w:sz="0" w:space="0" w:color="auto"/>
        <w:bottom w:val="none" w:sz="0" w:space="0" w:color="auto"/>
        <w:right w:val="none" w:sz="0" w:space="0" w:color="auto"/>
      </w:divBdr>
      <w:divsChild>
        <w:div w:id="152650103">
          <w:marLeft w:val="0"/>
          <w:marRight w:val="0"/>
          <w:marTop w:val="0"/>
          <w:marBottom w:val="0"/>
          <w:divBdr>
            <w:top w:val="none" w:sz="0" w:space="0" w:color="auto"/>
            <w:left w:val="none" w:sz="0" w:space="0" w:color="auto"/>
            <w:bottom w:val="none" w:sz="0" w:space="0" w:color="auto"/>
            <w:right w:val="none" w:sz="0" w:space="0" w:color="auto"/>
          </w:divBdr>
        </w:div>
        <w:div w:id="2068071335">
          <w:marLeft w:val="0"/>
          <w:marRight w:val="0"/>
          <w:marTop w:val="0"/>
          <w:marBottom w:val="0"/>
          <w:divBdr>
            <w:top w:val="none" w:sz="0" w:space="0" w:color="auto"/>
            <w:left w:val="none" w:sz="0" w:space="0" w:color="auto"/>
            <w:bottom w:val="none" w:sz="0" w:space="0" w:color="auto"/>
            <w:right w:val="none" w:sz="0" w:space="0" w:color="auto"/>
          </w:divBdr>
        </w:div>
      </w:divsChild>
    </w:div>
    <w:div w:id="402725965">
      <w:bodyDiv w:val="1"/>
      <w:marLeft w:val="0"/>
      <w:marRight w:val="0"/>
      <w:marTop w:val="0"/>
      <w:marBottom w:val="0"/>
      <w:divBdr>
        <w:top w:val="none" w:sz="0" w:space="0" w:color="auto"/>
        <w:left w:val="none" w:sz="0" w:space="0" w:color="auto"/>
        <w:bottom w:val="none" w:sz="0" w:space="0" w:color="auto"/>
        <w:right w:val="none" w:sz="0" w:space="0" w:color="auto"/>
      </w:divBdr>
    </w:div>
    <w:div w:id="424227249">
      <w:bodyDiv w:val="1"/>
      <w:marLeft w:val="0"/>
      <w:marRight w:val="0"/>
      <w:marTop w:val="0"/>
      <w:marBottom w:val="0"/>
      <w:divBdr>
        <w:top w:val="none" w:sz="0" w:space="0" w:color="auto"/>
        <w:left w:val="none" w:sz="0" w:space="0" w:color="auto"/>
        <w:bottom w:val="none" w:sz="0" w:space="0" w:color="auto"/>
        <w:right w:val="none" w:sz="0" w:space="0" w:color="auto"/>
      </w:divBdr>
    </w:div>
    <w:div w:id="535123020">
      <w:bodyDiv w:val="1"/>
      <w:marLeft w:val="0"/>
      <w:marRight w:val="0"/>
      <w:marTop w:val="0"/>
      <w:marBottom w:val="0"/>
      <w:divBdr>
        <w:top w:val="none" w:sz="0" w:space="0" w:color="auto"/>
        <w:left w:val="none" w:sz="0" w:space="0" w:color="auto"/>
        <w:bottom w:val="none" w:sz="0" w:space="0" w:color="auto"/>
        <w:right w:val="none" w:sz="0" w:space="0" w:color="auto"/>
      </w:divBdr>
    </w:div>
    <w:div w:id="580606835">
      <w:bodyDiv w:val="1"/>
      <w:marLeft w:val="0"/>
      <w:marRight w:val="0"/>
      <w:marTop w:val="0"/>
      <w:marBottom w:val="0"/>
      <w:divBdr>
        <w:top w:val="none" w:sz="0" w:space="0" w:color="auto"/>
        <w:left w:val="none" w:sz="0" w:space="0" w:color="auto"/>
        <w:bottom w:val="none" w:sz="0" w:space="0" w:color="auto"/>
        <w:right w:val="none" w:sz="0" w:space="0" w:color="auto"/>
      </w:divBdr>
      <w:divsChild>
        <w:div w:id="583144639">
          <w:marLeft w:val="0"/>
          <w:marRight w:val="0"/>
          <w:marTop w:val="0"/>
          <w:marBottom w:val="0"/>
          <w:divBdr>
            <w:top w:val="none" w:sz="0" w:space="0" w:color="auto"/>
            <w:left w:val="none" w:sz="0" w:space="0" w:color="auto"/>
            <w:bottom w:val="none" w:sz="0" w:space="0" w:color="auto"/>
            <w:right w:val="none" w:sz="0" w:space="0" w:color="auto"/>
          </w:divBdr>
        </w:div>
        <w:div w:id="1887450934">
          <w:marLeft w:val="0"/>
          <w:marRight w:val="0"/>
          <w:marTop w:val="0"/>
          <w:marBottom w:val="0"/>
          <w:divBdr>
            <w:top w:val="none" w:sz="0" w:space="0" w:color="auto"/>
            <w:left w:val="none" w:sz="0" w:space="0" w:color="auto"/>
            <w:bottom w:val="none" w:sz="0" w:space="0" w:color="auto"/>
            <w:right w:val="none" w:sz="0" w:space="0" w:color="auto"/>
          </w:divBdr>
        </w:div>
        <w:div w:id="1958413446">
          <w:marLeft w:val="0"/>
          <w:marRight w:val="0"/>
          <w:marTop w:val="0"/>
          <w:marBottom w:val="0"/>
          <w:divBdr>
            <w:top w:val="none" w:sz="0" w:space="0" w:color="auto"/>
            <w:left w:val="none" w:sz="0" w:space="0" w:color="auto"/>
            <w:bottom w:val="none" w:sz="0" w:space="0" w:color="auto"/>
            <w:right w:val="none" w:sz="0" w:space="0" w:color="auto"/>
          </w:divBdr>
        </w:div>
      </w:divsChild>
    </w:div>
    <w:div w:id="820581146">
      <w:bodyDiv w:val="1"/>
      <w:marLeft w:val="0"/>
      <w:marRight w:val="0"/>
      <w:marTop w:val="0"/>
      <w:marBottom w:val="0"/>
      <w:divBdr>
        <w:top w:val="none" w:sz="0" w:space="0" w:color="auto"/>
        <w:left w:val="none" w:sz="0" w:space="0" w:color="auto"/>
        <w:bottom w:val="none" w:sz="0" w:space="0" w:color="auto"/>
        <w:right w:val="none" w:sz="0" w:space="0" w:color="auto"/>
      </w:divBdr>
    </w:div>
    <w:div w:id="832719610">
      <w:bodyDiv w:val="1"/>
      <w:marLeft w:val="0"/>
      <w:marRight w:val="0"/>
      <w:marTop w:val="0"/>
      <w:marBottom w:val="0"/>
      <w:divBdr>
        <w:top w:val="none" w:sz="0" w:space="0" w:color="auto"/>
        <w:left w:val="none" w:sz="0" w:space="0" w:color="auto"/>
        <w:bottom w:val="none" w:sz="0" w:space="0" w:color="auto"/>
        <w:right w:val="none" w:sz="0" w:space="0" w:color="auto"/>
      </w:divBdr>
    </w:div>
    <w:div w:id="939949911">
      <w:bodyDiv w:val="1"/>
      <w:marLeft w:val="0"/>
      <w:marRight w:val="0"/>
      <w:marTop w:val="0"/>
      <w:marBottom w:val="0"/>
      <w:divBdr>
        <w:top w:val="none" w:sz="0" w:space="0" w:color="auto"/>
        <w:left w:val="none" w:sz="0" w:space="0" w:color="auto"/>
        <w:bottom w:val="none" w:sz="0" w:space="0" w:color="auto"/>
        <w:right w:val="none" w:sz="0" w:space="0" w:color="auto"/>
      </w:divBdr>
    </w:div>
    <w:div w:id="954749722">
      <w:bodyDiv w:val="1"/>
      <w:marLeft w:val="0"/>
      <w:marRight w:val="0"/>
      <w:marTop w:val="0"/>
      <w:marBottom w:val="0"/>
      <w:divBdr>
        <w:top w:val="none" w:sz="0" w:space="0" w:color="auto"/>
        <w:left w:val="none" w:sz="0" w:space="0" w:color="auto"/>
        <w:bottom w:val="none" w:sz="0" w:space="0" w:color="auto"/>
        <w:right w:val="none" w:sz="0" w:space="0" w:color="auto"/>
      </w:divBdr>
    </w:div>
    <w:div w:id="1152525458">
      <w:bodyDiv w:val="1"/>
      <w:marLeft w:val="0"/>
      <w:marRight w:val="0"/>
      <w:marTop w:val="0"/>
      <w:marBottom w:val="0"/>
      <w:divBdr>
        <w:top w:val="none" w:sz="0" w:space="0" w:color="auto"/>
        <w:left w:val="none" w:sz="0" w:space="0" w:color="auto"/>
        <w:bottom w:val="none" w:sz="0" w:space="0" w:color="auto"/>
        <w:right w:val="none" w:sz="0" w:space="0" w:color="auto"/>
      </w:divBdr>
    </w:div>
    <w:div w:id="1187404614">
      <w:bodyDiv w:val="1"/>
      <w:marLeft w:val="0"/>
      <w:marRight w:val="0"/>
      <w:marTop w:val="0"/>
      <w:marBottom w:val="0"/>
      <w:divBdr>
        <w:top w:val="none" w:sz="0" w:space="0" w:color="auto"/>
        <w:left w:val="none" w:sz="0" w:space="0" w:color="auto"/>
        <w:bottom w:val="none" w:sz="0" w:space="0" w:color="auto"/>
        <w:right w:val="none" w:sz="0" w:space="0" w:color="auto"/>
      </w:divBdr>
    </w:div>
    <w:div w:id="1222864558">
      <w:bodyDiv w:val="1"/>
      <w:marLeft w:val="0"/>
      <w:marRight w:val="0"/>
      <w:marTop w:val="0"/>
      <w:marBottom w:val="0"/>
      <w:divBdr>
        <w:top w:val="none" w:sz="0" w:space="0" w:color="auto"/>
        <w:left w:val="none" w:sz="0" w:space="0" w:color="auto"/>
        <w:bottom w:val="none" w:sz="0" w:space="0" w:color="auto"/>
        <w:right w:val="none" w:sz="0" w:space="0" w:color="auto"/>
      </w:divBdr>
    </w:div>
    <w:div w:id="1239025480">
      <w:bodyDiv w:val="1"/>
      <w:marLeft w:val="0"/>
      <w:marRight w:val="0"/>
      <w:marTop w:val="0"/>
      <w:marBottom w:val="0"/>
      <w:divBdr>
        <w:top w:val="none" w:sz="0" w:space="0" w:color="auto"/>
        <w:left w:val="none" w:sz="0" w:space="0" w:color="auto"/>
        <w:bottom w:val="none" w:sz="0" w:space="0" w:color="auto"/>
        <w:right w:val="none" w:sz="0" w:space="0" w:color="auto"/>
      </w:divBdr>
    </w:div>
    <w:div w:id="1258488046">
      <w:bodyDiv w:val="1"/>
      <w:marLeft w:val="0"/>
      <w:marRight w:val="0"/>
      <w:marTop w:val="0"/>
      <w:marBottom w:val="0"/>
      <w:divBdr>
        <w:top w:val="none" w:sz="0" w:space="0" w:color="auto"/>
        <w:left w:val="none" w:sz="0" w:space="0" w:color="auto"/>
        <w:bottom w:val="none" w:sz="0" w:space="0" w:color="auto"/>
        <w:right w:val="none" w:sz="0" w:space="0" w:color="auto"/>
      </w:divBdr>
      <w:divsChild>
        <w:div w:id="646322386">
          <w:marLeft w:val="0"/>
          <w:marRight w:val="0"/>
          <w:marTop w:val="0"/>
          <w:marBottom w:val="120"/>
          <w:divBdr>
            <w:top w:val="none" w:sz="0" w:space="0" w:color="auto"/>
            <w:left w:val="none" w:sz="0" w:space="0" w:color="auto"/>
            <w:bottom w:val="none" w:sz="0" w:space="0" w:color="auto"/>
            <w:right w:val="none" w:sz="0" w:space="0" w:color="auto"/>
          </w:divBdr>
          <w:divsChild>
            <w:div w:id="81223537">
              <w:marLeft w:val="0"/>
              <w:marRight w:val="0"/>
              <w:marTop w:val="0"/>
              <w:marBottom w:val="0"/>
              <w:divBdr>
                <w:top w:val="none" w:sz="0" w:space="0" w:color="auto"/>
                <w:left w:val="none" w:sz="0" w:space="0" w:color="auto"/>
                <w:bottom w:val="none" w:sz="0" w:space="0" w:color="auto"/>
                <w:right w:val="none" w:sz="0" w:space="0" w:color="auto"/>
              </w:divBdr>
            </w:div>
          </w:divsChild>
        </w:div>
        <w:div w:id="1720663234">
          <w:marLeft w:val="0"/>
          <w:marRight w:val="0"/>
          <w:marTop w:val="0"/>
          <w:marBottom w:val="120"/>
          <w:divBdr>
            <w:top w:val="none" w:sz="0" w:space="0" w:color="auto"/>
            <w:left w:val="none" w:sz="0" w:space="0" w:color="auto"/>
            <w:bottom w:val="none" w:sz="0" w:space="0" w:color="auto"/>
            <w:right w:val="none" w:sz="0" w:space="0" w:color="auto"/>
          </w:divBdr>
          <w:divsChild>
            <w:div w:id="6588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0445">
      <w:bodyDiv w:val="1"/>
      <w:marLeft w:val="0"/>
      <w:marRight w:val="0"/>
      <w:marTop w:val="0"/>
      <w:marBottom w:val="0"/>
      <w:divBdr>
        <w:top w:val="none" w:sz="0" w:space="0" w:color="auto"/>
        <w:left w:val="none" w:sz="0" w:space="0" w:color="auto"/>
        <w:bottom w:val="none" w:sz="0" w:space="0" w:color="auto"/>
        <w:right w:val="none" w:sz="0" w:space="0" w:color="auto"/>
      </w:divBdr>
    </w:div>
    <w:div w:id="1443960629">
      <w:bodyDiv w:val="1"/>
      <w:marLeft w:val="0"/>
      <w:marRight w:val="0"/>
      <w:marTop w:val="0"/>
      <w:marBottom w:val="0"/>
      <w:divBdr>
        <w:top w:val="none" w:sz="0" w:space="0" w:color="auto"/>
        <w:left w:val="none" w:sz="0" w:space="0" w:color="auto"/>
        <w:bottom w:val="none" w:sz="0" w:space="0" w:color="auto"/>
        <w:right w:val="none" w:sz="0" w:space="0" w:color="auto"/>
      </w:divBdr>
    </w:div>
    <w:div w:id="1528786347">
      <w:bodyDiv w:val="1"/>
      <w:marLeft w:val="0"/>
      <w:marRight w:val="0"/>
      <w:marTop w:val="0"/>
      <w:marBottom w:val="0"/>
      <w:divBdr>
        <w:top w:val="none" w:sz="0" w:space="0" w:color="auto"/>
        <w:left w:val="none" w:sz="0" w:space="0" w:color="auto"/>
        <w:bottom w:val="none" w:sz="0" w:space="0" w:color="auto"/>
        <w:right w:val="none" w:sz="0" w:space="0" w:color="auto"/>
      </w:divBdr>
    </w:div>
    <w:div w:id="1538276387">
      <w:bodyDiv w:val="1"/>
      <w:marLeft w:val="0"/>
      <w:marRight w:val="0"/>
      <w:marTop w:val="0"/>
      <w:marBottom w:val="0"/>
      <w:divBdr>
        <w:top w:val="none" w:sz="0" w:space="0" w:color="auto"/>
        <w:left w:val="none" w:sz="0" w:space="0" w:color="auto"/>
        <w:bottom w:val="none" w:sz="0" w:space="0" w:color="auto"/>
        <w:right w:val="none" w:sz="0" w:space="0" w:color="auto"/>
      </w:divBdr>
    </w:div>
    <w:div w:id="1582181602">
      <w:bodyDiv w:val="1"/>
      <w:marLeft w:val="0"/>
      <w:marRight w:val="0"/>
      <w:marTop w:val="0"/>
      <w:marBottom w:val="0"/>
      <w:divBdr>
        <w:top w:val="none" w:sz="0" w:space="0" w:color="auto"/>
        <w:left w:val="none" w:sz="0" w:space="0" w:color="auto"/>
        <w:bottom w:val="none" w:sz="0" w:space="0" w:color="auto"/>
        <w:right w:val="none" w:sz="0" w:space="0" w:color="auto"/>
      </w:divBdr>
      <w:divsChild>
        <w:div w:id="68770384">
          <w:marLeft w:val="0"/>
          <w:marRight w:val="0"/>
          <w:marTop w:val="0"/>
          <w:marBottom w:val="0"/>
          <w:divBdr>
            <w:top w:val="none" w:sz="0" w:space="0" w:color="auto"/>
            <w:left w:val="none" w:sz="0" w:space="0" w:color="auto"/>
            <w:bottom w:val="none" w:sz="0" w:space="0" w:color="auto"/>
            <w:right w:val="none" w:sz="0" w:space="0" w:color="auto"/>
          </w:divBdr>
        </w:div>
        <w:div w:id="252904616">
          <w:marLeft w:val="0"/>
          <w:marRight w:val="0"/>
          <w:marTop w:val="0"/>
          <w:marBottom w:val="0"/>
          <w:divBdr>
            <w:top w:val="none" w:sz="0" w:space="0" w:color="auto"/>
            <w:left w:val="none" w:sz="0" w:space="0" w:color="auto"/>
            <w:bottom w:val="none" w:sz="0" w:space="0" w:color="auto"/>
            <w:right w:val="none" w:sz="0" w:space="0" w:color="auto"/>
          </w:divBdr>
        </w:div>
        <w:div w:id="364335043">
          <w:marLeft w:val="0"/>
          <w:marRight w:val="0"/>
          <w:marTop w:val="0"/>
          <w:marBottom w:val="0"/>
          <w:divBdr>
            <w:top w:val="none" w:sz="0" w:space="0" w:color="auto"/>
            <w:left w:val="none" w:sz="0" w:space="0" w:color="auto"/>
            <w:bottom w:val="none" w:sz="0" w:space="0" w:color="auto"/>
            <w:right w:val="none" w:sz="0" w:space="0" w:color="auto"/>
          </w:divBdr>
        </w:div>
        <w:div w:id="960451830">
          <w:marLeft w:val="0"/>
          <w:marRight w:val="0"/>
          <w:marTop w:val="0"/>
          <w:marBottom w:val="0"/>
          <w:divBdr>
            <w:top w:val="none" w:sz="0" w:space="0" w:color="auto"/>
            <w:left w:val="none" w:sz="0" w:space="0" w:color="auto"/>
            <w:bottom w:val="none" w:sz="0" w:space="0" w:color="auto"/>
            <w:right w:val="none" w:sz="0" w:space="0" w:color="auto"/>
          </w:divBdr>
        </w:div>
      </w:divsChild>
    </w:div>
    <w:div w:id="1604992461">
      <w:bodyDiv w:val="1"/>
      <w:marLeft w:val="0"/>
      <w:marRight w:val="0"/>
      <w:marTop w:val="0"/>
      <w:marBottom w:val="0"/>
      <w:divBdr>
        <w:top w:val="none" w:sz="0" w:space="0" w:color="auto"/>
        <w:left w:val="none" w:sz="0" w:space="0" w:color="auto"/>
        <w:bottom w:val="none" w:sz="0" w:space="0" w:color="auto"/>
        <w:right w:val="none" w:sz="0" w:space="0" w:color="auto"/>
      </w:divBdr>
      <w:divsChild>
        <w:div w:id="15079064">
          <w:marLeft w:val="0"/>
          <w:marRight w:val="0"/>
          <w:marTop w:val="0"/>
          <w:marBottom w:val="0"/>
          <w:divBdr>
            <w:top w:val="none" w:sz="0" w:space="0" w:color="auto"/>
            <w:left w:val="none" w:sz="0" w:space="0" w:color="auto"/>
            <w:bottom w:val="none" w:sz="0" w:space="0" w:color="auto"/>
            <w:right w:val="none" w:sz="0" w:space="0" w:color="auto"/>
          </w:divBdr>
        </w:div>
        <w:div w:id="1240871468">
          <w:marLeft w:val="0"/>
          <w:marRight w:val="0"/>
          <w:marTop w:val="0"/>
          <w:marBottom w:val="0"/>
          <w:divBdr>
            <w:top w:val="none" w:sz="0" w:space="0" w:color="auto"/>
            <w:left w:val="none" w:sz="0" w:space="0" w:color="auto"/>
            <w:bottom w:val="none" w:sz="0" w:space="0" w:color="auto"/>
            <w:right w:val="none" w:sz="0" w:space="0" w:color="auto"/>
          </w:divBdr>
        </w:div>
      </w:divsChild>
    </w:div>
    <w:div w:id="1621380325">
      <w:bodyDiv w:val="1"/>
      <w:marLeft w:val="0"/>
      <w:marRight w:val="0"/>
      <w:marTop w:val="0"/>
      <w:marBottom w:val="0"/>
      <w:divBdr>
        <w:top w:val="none" w:sz="0" w:space="0" w:color="auto"/>
        <w:left w:val="none" w:sz="0" w:space="0" w:color="auto"/>
        <w:bottom w:val="none" w:sz="0" w:space="0" w:color="auto"/>
        <w:right w:val="none" w:sz="0" w:space="0" w:color="auto"/>
      </w:divBdr>
    </w:div>
    <w:div w:id="1625113498">
      <w:bodyDiv w:val="1"/>
      <w:marLeft w:val="0"/>
      <w:marRight w:val="0"/>
      <w:marTop w:val="0"/>
      <w:marBottom w:val="0"/>
      <w:divBdr>
        <w:top w:val="none" w:sz="0" w:space="0" w:color="auto"/>
        <w:left w:val="none" w:sz="0" w:space="0" w:color="auto"/>
        <w:bottom w:val="none" w:sz="0" w:space="0" w:color="auto"/>
        <w:right w:val="none" w:sz="0" w:space="0" w:color="auto"/>
      </w:divBdr>
    </w:div>
    <w:div w:id="1848249422">
      <w:bodyDiv w:val="1"/>
      <w:marLeft w:val="0"/>
      <w:marRight w:val="0"/>
      <w:marTop w:val="0"/>
      <w:marBottom w:val="0"/>
      <w:divBdr>
        <w:top w:val="none" w:sz="0" w:space="0" w:color="auto"/>
        <w:left w:val="none" w:sz="0" w:space="0" w:color="auto"/>
        <w:bottom w:val="none" w:sz="0" w:space="0" w:color="auto"/>
        <w:right w:val="none" w:sz="0" w:space="0" w:color="auto"/>
      </w:divBdr>
    </w:div>
    <w:div w:id="21071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ublications.europa.eu/resource/cellar/6bf54b59-7673-461b-b8e1-f24c545cbd3c.0006.05/DOC_1" TargetMode="External"/><Relationship Id="rId21" Type="http://schemas.openxmlformats.org/officeDocument/2006/relationships/hyperlink" Target="https://cot.food.gov.uk/Final%20Minutes%20of%20the%206th%20February%202024%20COT%20Meeting" TargetMode="External"/><Relationship Id="rId42" Type="http://schemas.openxmlformats.org/officeDocument/2006/relationships/hyperlink" Target="https://cot.food.gov.uk/Fifth%20Draft%20Interim%20Position%20Statement%20on%20Bisphenol%20A" TargetMode="External"/><Relationship Id="rId47" Type="http://schemas.openxmlformats.org/officeDocument/2006/relationships/footer" Target="footer1.xml"/><Relationship Id="rId63" Type="http://schemas.openxmlformats.org/officeDocument/2006/relationships/hyperlink" Target="https://www.fda.gov/media/90124/download" TargetMode="External"/><Relationship Id="rId68" Type="http://schemas.openxmlformats.org/officeDocument/2006/relationships/hyperlink" Target="https://doi.org/10.3390/app13063587" TargetMode="External"/><Relationship Id="rId84" Type="http://schemas.openxmlformats.org/officeDocument/2006/relationships/hyperlink" Target="https://doi.org/10.1007/s11356-018-2229-2" TargetMode="External"/><Relationship Id="rId89" Type="http://schemas.openxmlformats.org/officeDocument/2006/relationships/hyperlink" Target="https://doi.org/10.1016/j.ecoenv.2023.114867" TargetMode="External"/><Relationship Id="rId16" Type="http://schemas.openxmlformats.org/officeDocument/2006/relationships/hyperlink" Target="https://cot.food.gov.uk/EFSA%202023%20re-evaluation%20of%20the%20risk%20to%20public%20health%20from%20bisphenol%20A%20(BPA)%20in%20foodstuffs" TargetMode="External"/><Relationship Id="rId11" Type="http://schemas.openxmlformats.org/officeDocument/2006/relationships/hyperlink" Target="https://cot.food.gov.uk/Final%20minutes%20of%20the%20extraordinary%20meeting%20on%20BPA%2010th%20February%202022" TargetMode="External"/><Relationship Id="rId32" Type="http://schemas.openxmlformats.org/officeDocument/2006/relationships/hyperlink" Target="https://www.efsa.europa.eu/sites/default/files/2023-04/bfr-efsa-art-30.pdf" TargetMode="External"/><Relationship Id="rId37" Type="http://schemas.openxmlformats.org/officeDocument/2006/relationships/hyperlink" Target="https://cot.food.gov.uk/EFSA%202023%20re-evaluation%20of%20the%20risk%20to%20public%20health%20from%20bisphenol%20A%20(BPA)%20in%20foodstuffs" TargetMode="External"/><Relationship Id="rId53" Type="http://schemas.openxmlformats.org/officeDocument/2006/relationships/hyperlink" Target="https://doi.org/10.1016/j.fct.2019.110728" TargetMode="External"/><Relationship Id="rId58" Type="http://schemas.openxmlformats.org/officeDocument/2006/relationships/hyperlink" Target="http://www.efsa.europa.eu/efsajournal" TargetMode="External"/><Relationship Id="rId74" Type="http://schemas.openxmlformats.org/officeDocument/2006/relationships/hyperlink" Target="https://doi.org/10.1007/s00204-017-2038-2" TargetMode="External"/><Relationship Id="rId79" Type="http://schemas.openxmlformats.org/officeDocument/2006/relationships/hyperlink" Target="https://doi.org/10.1080/15376516.2022.2057265"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efsa.europa.eu/sites/default/files/2023-04/bfr-efsa-art-30.pdf" TargetMode="External"/><Relationship Id="rId22" Type="http://schemas.openxmlformats.org/officeDocument/2006/relationships/hyperlink" Target="https://cot.food.gov.uk/Final%20Minutes%20of%20the%2026th%20March%202024%20COT%20Meeting" TargetMode="External"/><Relationship Id="rId27" Type="http://schemas.openxmlformats.org/officeDocument/2006/relationships/hyperlink" Target="https://eur03.safelinks.protection.outlook.com/?url=https%3A%2F%2Fwww.rivm.nl%2Fpublicaties%2Fbisphenol-a-part-1-facts-and-figures-on-human-and-environmental-health-issues-and&amp;data=05%7C01%7C%7C99dbfae29b8144fe8ef508dbc8b11478%7C8a1c50f901b74c8aa6fa90eb906f18e9%7C0%7C0%7C638324435096361308%7CUnknown%7CTWFpbGZsb3d8eyJWIjoiMC4wLjAwMDAiLCJQIjoiV2luMzIiLCJBTiI6Ik1haWwiLCJXVCI6Mn0%3D%7C3000%7C%7C%7C&amp;sdata=nZ8Vm6O29r7KMZ77BIKQTnkcFva4MgLV%2BDZMpS49hRs%3D&amp;reserved=0" TargetMode="External"/><Relationship Id="rId30" Type="http://schemas.openxmlformats.org/officeDocument/2006/relationships/hyperlink" Target="https://eur-lex.europa.eu/eli/reg/2004/726/oj/eng" TargetMode="External"/><Relationship Id="rId35" Type="http://schemas.openxmlformats.org/officeDocument/2006/relationships/image" Target="media/image1.png"/><Relationship Id="rId43" Type="http://schemas.openxmlformats.org/officeDocument/2006/relationships/hyperlink" Target="https://foodgov.sharepoint.com/sites/EXTCommitteeofToxicityCOT-MembersArea/Shared%20Documents/Members%20Area/BPA/Supplementary%20Statement/V" TargetMode="External"/><Relationship Id="rId48" Type="http://schemas.openxmlformats.org/officeDocument/2006/relationships/footer" Target="footer2.xml"/><Relationship Id="rId56" Type="http://schemas.openxmlformats.org/officeDocument/2006/relationships/hyperlink" Target="https://doi.org/10.1016/j.taap.2018.03.021" TargetMode="External"/><Relationship Id="rId64" Type="http://schemas.openxmlformats.org/officeDocument/2006/relationships/hyperlink" Target="https://www.fda.gov/media/148475/download" TargetMode="External"/><Relationship Id="rId69" Type="http://schemas.openxmlformats.org/officeDocument/2006/relationships/hyperlink" Target="https://www.inchem.org/documents/ehc/ehc/ehc225.htm" TargetMode="External"/><Relationship Id="rId77" Type="http://schemas.openxmlformats.org/officeDocument/2006/relationships/hyperlink" Target="https://doi.org/10.1016/j.fct.2022.113292" TargetMode="External"/><Relationship Id="rId8" Type="http://schemas.openxmlformats.org/officeDocument/2006/relationships/webSettings" Target="webSettings.xml"/><Relationship Id="rId51" Type="http://schemas.openxmlformats.org/officeDocument/2006/relationships/hyperlink" Target="https://doi.org/10.17590/20230419-114234-0" TargetMode="External"/><Relationship Id="rId72" Type="http://schemas.openxmlformats.org/officeDocument/2006/relationships/hyperlink" Target="https://doi.org/10.1038/cddis.2013.203" TargetMode="External"/><Relationship Id="rId80" Type="http://schemas.openxmlformats.org/officeDocument/2006/relationships/hyperlink" Target="https://doi.org/10.1093/toxsci/kfad136" TargetMode="External"/><Relationship Id="rId85" Type="http://schemas.openxmlformats.org/officeDocument/2006/relationships/hyperlink" Target="https://doi.org/10.3390/toxics10050224" TargetMode="External"/><Relationship Id="rId3" Type="http://schemas.openxmlformats.org/officeDocument/2006/relationships/customXml" Target="../customXml/item3.xml"/><Relationship Id="rId12" Type="http://schemas.openxmlformats.org/officeDocument/2006/relationships/hyperlink" Target="https://www.efsa.europa.eu/en/efsajournal/pub/6857" TargetMode="External"/><Relationship Id="rId17" Type="http://schemas.openxmlformats.org/officeDocument/2006/relationships/hyperlink" Target="https://cot.food.gov.uk/Final%20Minutes%20of%20the%2011th%20July%202023%20COT%20Meeting" TargetMode="External"/><Relationship Id="rId25" Type="http://schemas.openxmlformats.org/officeDocument/2006/relationships/hyperlink" Target="https://eur-lex.europa.eu/eli/reg/2024/3190/oj/eng" TargetMode="External"/><Relationship Id="rId33" Type="http://schemas.openxmlformats.org/officeDocument/2006/relationships/hyperlink" Target="https://iris.who.int/bitstream/handle/10665/259858/9789241513548-eng.pdf?sequence=1%5d" TargetMode="External"/><Relationship Id="rId38" Type="http://schemas.openxmlformats.org/officeDocument/2006/relationships/hyperlink" Target="https://cot.food.gov.uk/Second%20draft%20interim%20position%20statement%20on%20bisphenol%20A" TargetMode="External"/><Relationship Id="rId46" Type="http://schemas.openxmlformats.org/officeDocument/2006/relationships/header" Target="header2.xml"/><Relationship Id="rId59" Type="http://schemas.openxmlformats.org/officeDocument/2006/relationships/hyperlink" Target="https://www.efsa.europa.eu/sites/default/files/2023-04/bfr-efsa-art-30.pdf" TargetMode="External"/><Relationship Id="rId67" Type="http://schemas.openxmlformats.org/officeDocument/2006/relationships/hyperlink" Target="https://doi.org/10.3389/fendo.2022.1071761" TargetMode="External"/><Relationship Id="rId20" Type="http://schemas.openxmlformats.org/officeDocument/2006/relationships/hyperlink" Target="https://cot.food.gov.uk/Final%20Minutes%20of%20the%2012th%20December%202023%20COT%20Meeting" TargetMode="External"/><Relationship Id="rId41" Type="http://schemas.openxmlformats.org/officeDocument/2006/relationships/hyperlink" Target="https://cot.food.gov.uk/Fourth%20draft%20interim%20position%20paper%20on%20bisphenol%20A" TargetMode="External"/><Relationship Id="rId54" Type="http://schemas.openxmlformats.org/officeDocument/2006/relationships/hyperlink" Target="https://doi.org/10.46756/sci.fsa.sjl259" TargetMode="External"/><Relationship Id="rId62" Type="http://schemas.openxmlformats.org/officeDocument/2006/relationships/hyperlink" Target="https://doi.org/10.1016/0890-6238(88)90034-2" TargetMode="External"/><Relationship Id="rId70" Type="http://schemas.openxmlformats.org/officeDocument/2006/relationships/hyperlink" Target="https://doi.org/10.1016/j.envpol.2024.123445" TargetMode="External"/><Relationship Id="rId75" Type="http://schemas.openxmlformats.org/officeDocument/2006/relationships/hyperlink" Target="https://doi.org/10.1371/journal.pone.0112752" TargetMode="External"/><Relationship Id="rId83" Type="http://schemas.openxmlformats.org/officeDocument/2006/relationships/hyperlink" Target="https://doi.org/10.1177/026119290903700609" TargetMode="External"/><Relationship Id="rId88" Type="http://schemas.openxmlformats.org/officeDocument/2006/relationships/hyperlink" Target="https://doi.org/10.3390/genes14071455"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fr.bund.de/en/product-safety/health-assessment-of-food-contact-materials/health-assessment-of-bisphenol-a-in-foods/" TargetMode="External"/><Relationship Id="rId23" Type="http://schemas.openxmlformats.org/officeDocument/2006/relationships/hyperlink" Target="https://cot.food.gov.uk/Final%20Minutes%20of%20the%2021st%20May%202024%20COT%20Meeting" TargetMode="External"/><Relationship Id="rId28" Type="http://schemas.openxmlformats.org/officeDocument/2006/relationships/hyperlink" Target="https://eur03.safelinks.protection.outlook.com/?url=https%3A%2F%2Fwww.rivm.nl%2Fpublicaties%2Fbisphenol-a-part-2-recommendations-for-risk-management&amp;data=05%7C01%7C%7C39b6613e0b6f44a0dab508dbe06b0c72%7C8a1c50f901b74c8aa6fa90eb906f18e9%7C0%7C0%7C638350522620068818%7CUnknown%7CTWFpbGZsb3d8eyJWIjoiMC4wLjAwMDAiLCJQIjoiV2luMzIiLCJBTiI6Ik1haWwiLCJXVCI6Mn0%3D%7C3000%7C%7C%7C&amp;sdata=hnCHtBjSQSIJ9stWLJIJ1S8M5ONdIphzAqAn%2Fraophs%3D&amp;reserved=0" TargetMode="External"/><Relationship Id="rId36" Type="http://schemas.openxmlformats.org/officeDocument/2006/relationships/hyperlink" Target="https://cot.food.gov.uk/COTMeeting10thFebruary2022" TargetMode="External"/><Relationship Id="rId49" Type="http://schemas.openxmlformats.org/officeDocument/2006/relationships/header" Target="header3.xml"/><Relationship Id="rId57" Type="http://schemas.openxmlformats.org/officeDocument/2006/relationships/hyperlink" Target="https://doi.org/10.1016/j.ecoenv.2023.114788" TargetMode="External"/><Relationship Id="rId10" Type="http://schemas.openxmlformats.org/officeDocument/2006/relationships/endnotes" Target="endnotes.xml"/><Relationship Id="rId31" Type="http://schemas.openxmlformats.org/officeDocument/2006/relationships/hyperlink" Target="https://www.efsa.europa.eu/sites/default/files/2023-04/ema-efsa-article-30.pdf" TargetMode="External"/><Relationship Id="rId44" Type="http://schemas.openxmlformats.org/officeDocument/2006/relationships/hyperlink" Target="https://cot.food.gov.uk/Position%20paper%20on%20bisphenol%20A" TargetMode="External"/><Relationship Id="rId52" Type="http://schemas.openxmlformats.org/officeDocument/2006/relationships/hyperlink" Target="https://doi.org/10.1093/toxsci/kft242" TargetMode="External"/><Relationship Id="rId60" Type="http://schemas.openxmlformats.org/officeDocument/2006/relationships/hyperlink" Target="https://www.efsa.europa.eu/sites/default/files/2023-04/ema-efsa-article-30.pdf" TargetMode="External"/><Relationship Id="rId65" Type="http://schemas.openxmlformats.org/officeDocument/2006/relationships/hyperlink" Target="https://doi.org/10.3390/ijms24087418" TargetMode="External"/><Relationship Id="rId73" Type="http://schemas.openxmlformats.org/officeDocument/2006/relationships/hyperlink" Target="https://doi.org/10.1016/j.etap.2016.09.017" TargetMode="External"/><Relationship Id="rId78" Type="http://schemas.openxmlformats.org/officeDocument/2006/relationships/hyperlink" Target="https://doi.org/10.1017/s204017441400004x" TargetMode="External"/><Relationship Id="rId81" Type="http://schemas.openxmlformats.org/officeDocument/2006/relationships/hyperlink" Target="https://www.rivm.nl/bibliotheek/rapporten/601351001.pdf" TargetMode="External"/><Relationship Id="rId86" Type="http://schemas.openxmlformats.org/officeDocument/2006/relationships/hyperlink" Target="https://doi.org/10.1186/s13048-023-01114-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fsa.europa.eu/sites/default/files/2023-04/ema-efsa-article-30.pdf" TargetMode="External"/><Relationship Id="rId18" Type="http://schemas.openxmlformats.org/officeDocument/2006/relationships/hyperlink" Target="https://cot.food.gov.uk/Final%20Minutes%20of%20the%205th%20September%202023%20COT%20Meeting" TargetMode="External"/><Relationship Id="rId39" Type="http://schemas.openxmlformats.org/officeDocument/2006/relationships/hyperlink" Target="https://cot.food.gov.uk/Third%20draft%20interim%20position%20statement%20on%20bisphenol%20A" TargetMode="External"/><Relationship Id="rId34" Type="http://schemas.openxmlformats.org/officeDocument/2006/relationships/hyperlink" Target="https://www.fda.gov/media/90546/download" TargetMode="External"/><Relationship Id="rId50" Type="http://schemas.openxmlformats.org/officeDocument/2006/relationships/footer" Target="footer3.xml"/><Relationship Id="rId55" Type="http://schemas.openxmlformats.org/officeDocument/2006/relationships/hyperlink" Target="https://doi.org/10.1080/15376516.2023.2279723" TargetMode="External"/><Relationship Id="rId76" Type="http://schemas.openxmlformats.org/officeDocument/2006/relationships/hyperlink" Target="https://doi.org/10.1096/fj.14-255380" TargetMode="External"/><Relationship Id="rId7" Type="http://schemas.openxmlformats.org/officeDocument/2006/relationships/settings" Target="settings.xml"/><Relationship Id="rId71" Type="http://schemas.openxmlformats.org/officeDocument/2006/relationships/hyperlink" Target="https://doi.org/10.1016/j.ijheh.2022.113942" TargetMode="External"/><Relationship Id="rId2" Type="http://schemas.openxmlformats.org/officeDocument/2006/relationships/customXml" Target="../customXml/item2.xml"/><Relationship Id="rId29" Type="http://schemas.openxmlformats.org/officeDocument/2006/relationships/hyperlink" Target="https://eur-lex.europa.eu/eli/reg/2002/178/oj/eng" TargetMode="External"/><Relationship Id="rId24" Type="http://schemas.openxmlformats.org/officeDocument/2006/relationships/hyperlink" Target="https://cot.food.gov.uk/Position%20paper%20on%20bisphenol%20A" TargetMode="External"/><Relationship Id="rId40" Type="http://schemas.openxmlformats.org/officeDocument/2006/relationships/hyperlink" Target="https://cot.food.gov.uk/Bisphenol%20A:%20The%20Dutch%20National%20Institute%20for%20Public%20Health%20and%20the%20Environment%20(RIVM),%20BPA%20Part%202" TargetMode="External"/><Relationship Id="rId45" Type="http://schemas.openxmlformats.org/officeDocument/2006/relationships/header" Target="header1.xml"/><Relationship Id="rId66" Type="http://schemas.openxmlformats.org/officeDocument/2006/relationships/hyperlink" Target="https://doi.org/10.1016/j.envres.2024.119034" TargetMode="External"/><Relationship Id="rId87" Type="http://schemas.openxmlformats.org/officeDocument/2006/relationships/hyperlink" Target="https://iris.who.int/server/api/core/bitstreams/f1703c1d-0219-46b4-a0be-44c6dab8202d/content" TargetMode="External"/><Relationship Id="rId61" Type="http://schemas.openxmlformats.org/officeDocument/2006/relationships/hyperlink" Target="https://doi.org/10.2903/j.efsa.2023.6857" TargetMode="External"/><Relationship Id="rId82" Type="http://schemas.openxmlformats.org/officeDocument/2006/relationships/hyperlink" Target="https://www.rivm.nl/bibliotheek/rapporten/2015-0192.pdf" TargetMode="External"/><Relationship Id="rId19" Type="http://schemas.openxmlformats.org/officeDocument/2006/relationships/hyperlink" Target="https://cot.food.gov.uk/Final%20Minutes%20of%20the%2017th%20October%20%202023%20COT%20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E308ADF0C83469E709585E16A2AB6" ma:contentTypeVersion="14" ma:contentTypeDescription="Create a new document." ma:contentTypeScope="" ma:versionID="1450c27d3df286428b83f7bf4895562f">
  <xsd:schema xmlns:xsd="http://www.w3.org/2001/XMLSchema" xmlns:xs="http://www.w3.org/2001/XMLSchema" xmlns:p="http://schemas.microsoft.com/office/2006/metadata/properties" xmlns:ns2="1a0920cb-6333-402d-8c23-fb72d6cdd92c" xmlns:ns3="8be84fa3-3c4f-4667-9622-519a4136bb1c" targetNamespace="http://schemas.microsoft.com/office/2006/metadata/properties" ma:root="true" ma:fieldsID="e94cdb31ebe1b7d50905c863f29a484c" ns2:_="" ns3:_="">
    <xsd:import namespace="1a0920cb-6333-402d-8c23-fb72d6cdd92c"/>
    <xsd:import namespace="8be84fa3-3c4f-4667-9622-519a4136bb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920cb-6333-402d-8c23-fb72d6cdd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fa3-3c4f-4667-9622-519a4136bb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3C0A2-FB4F-445B-8653-828097808868}">
  <ds:schemaRefs>
    <ds:schemaRef ds:uri="http://schemas.openxmlformats.org/officeDocument/2006/bibliography"/>
  </ds:schemaRefs>
</ds:datastoreItem>
</file>

<file path=customXml/itemProps2.xml><?xml version="1.0" encoding="utf-8"?>
<ds:datastoreItem xmlns:ds="http://schemas.openxmlformats.org/officeDocument/2006/customXml" ds:itemID="{75C9930C-C2B9-4CAE-970D-068BE42B79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0519D-7060-4B45-A7D6-DBCFA40C1F73}">
  <ds:schemaRefs>
    <ds:schemaRef ds:uri="http://schemas.microsoft.com/sharepoint/v3/contenttype/forms"/>
  </ds:schemaRefs>
</ds:datastoreItem>
</file>

<file path=customXml/itemProps4.xml><?xml version="1.0" encoding="utf-8"?>
<ds:datastoreItem xmlns:ds="http://schemas.openxmlformats.org/officeDocument/2006/customXml" ds:itemID="{83531BDC-CE0A-4D4D-8A2C-A25F4AA6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920cb-6333-402d-8c23-fb72d6cdd92c"/>
    <ds:schemaRef ds:uri="8be84fa3-3c4f-4667-9622-519a4136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 id="{e5684f37-750b-4c63-8422-1e8c31b41e07}" enabled="1" method="Privileged" siteId="{8a1c50f9-01b7-4c8a-a6fa-90eb906f18e9}" removed="0"/>
  <clbl:label id="{ed006307-e4a9-430f-af16-eea280431306}" enabled="1" method="Standard" siteId="{06219a4a-a835-44d5-afaf-3926343bfb89}" removed="0"/>
</clbl:labelList>
</file>

<file path=docProps/app.xml><?xml version="1.0" encoding="utf-8"?>
<Properties xmlns="http://schemas.openxmlformats.org/officeDocument/2006/extended-properties" xmlns:vt="http://schemas.openxmlformats.org/officeDocument/2006/docPropsVTypes">
  <Template>Normal</Template>
  <TotalTime>16</TotalTime>
  <Pages>42</Pages>
  <Words>11393</Words>
  <Characters>62438</Characters>
  <Application>Microsoft Office Word</Application>
  <DocSecurity>0</DocSecurity>
  <Lines>1248</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73417</CharactersWithSpaces>
  <SharedDoc>false</SharedDoc>
  <HLinks>
    <vt:vector size="324" baseType="variant">
      <vt:variant>
        <vt:i4>6029388</vt:i4>
      </vt:variant>
      <vt:variant>
        <vt:i4>159</vt:i4>
      </vt:variant>
      <vt:variant>
        <vt:i4>0</vt:i4>
      </vt:variant>
      <vt:variant>
        <vt:i4>5</vt:i4>
      </vt:variant>
      <vt:variant>
        <vt:lpwstr>https://doi.org/10.1016/j.ecoenv.2023.114867</vt:lpwstr>
      </vt:variant>
      <vt:variant>
        <vt:lpwstr/>
      </vt:variant>
      <vt:variant>
        <vt:i4>1900564</vt:i4>
      </vt:variant>
      <vt:variant>
        <vt:i4>156</vt:i4>
      </vt:variant>
      <vt:variant>
        <vt:i4>0</vt:i4>
      </vt:variant>
      <vt:variant>
        <vt:i4>5</vt:i4>
      </vt:variant>
      <vt:variant>
        <vt:lpwstr>https://doi.org/10.3390/genes14071455</vt:lpwstr>
      </vt:variant>
      <vt:variant>
        <vt:lpwstr/>
      </vt:variant>
      <vt:variant>
        <vt:i4>5963796</vt:i4>
      </vt:variant>
      <vt:variant>
        <vt:i4>153</vt:i4>
      </vt:variant>
      <vt:variant>
        <vt:i4>0</vt:i4>
      </vt:variant>
      <vt:variant>
        <vt:i4>5</vt:i4>
      </vt:variant>
      <vt:variant>
        <vt:lpwstr>https://iris.who.int/server/api/core/bitstreams/f1703c1d-0219-46b4-a0be-44c6dab8202d/content</vt:lpwstr>
      </vt:variant>
      <vt:variant>
        <vt:lpwstr/>
      </vt:variant>
      <vt:variant>
        <vt:i4>2097206</vt:i4>
      </vt:variant>
      <vt:variant>
        <vt:i4>150</vt:i4>
      </vt:variant>
      <vt:variant>
        <vt:i4>0</vt:i4>
      </vt:variant>
      <vt:variant>
        <vt:i4>5</vt:i4>
      </vt:variant>
      <vt:variant>
        <vt:lpwstr>https://doi.org/10.1186/s13048-023-01114-4</vt:lpwstr>
      </vt:variant>
      <vt:variant>
        <vt:lpwstr/>
      </vt:variant>
      <vt:variant>
        <vt:i4>7209013</vt:i4>
      </vt:variant>
      <vt:variant>
        <vt:i4>147</vt:i4>
      </vt:variant>
      <vt:variant>
        <vt:i4>0</vt:i4>
      </vt:variant>
      <vt:variant>
        <vt:i4>5</vt:i4>
      </vt:variant>
      <vt:variant>
        <vt:lpwstr>https://doi.org/10.3390/toxics10050224</vt:lpwstr>
      </vt:variant>
      <vt:variant>
        <vt:lpwstr/>
      </vt:variant>
      <vt:variant>
        <vt:i4>131088</vt:i4>
      </vt:variant>
      <vt:variant>
        <vt:i4>144</vt:i4>
      </vt:variant>
      <vt:variant>
        <vt:i4>0</vt:i4>
      </vt:variant>
      <vt:variant>
        <vt:i4>5</vt:i4>
      </vt:variant>
      <vt:variant>
        <vt:lpwstr>https://doi.org/10.1007/s11356-018-2229-2</vt:lpwstr>
      </vt:variant>
      <vt:variant>
        <vt:lpwstr/>
      </vt:variant>
      <vt:variant>
        <vt:i4>2752575</vt:i4>
      </vt:variant>
      <vt:variant>
        <vt:i4>141</vt:i4>
      </vt:variant>
      <vt:variant>
        <vt:i4>0</vt:i4>
      </vt:variant>
      <vt:variant>
        <vt:i4>5</vt:i4>
      </vt:variant>
      <vt:variant>
        <vt:lpwstr>https://www.rivm.nl/bibliotheek/rapporten/2015-0192.pdf</vt:lpwstr>
      </vt:variant>
      <vt:variant>
        <vt:lpwstr/>
      </vt:variant>
      <vt:variant>
        <vt:i4>2359329</vt:i4>
      </vt:variant>
      <vt:variant>
        <vt:i4>138</vt:i4>
      </vt:variant>
      <vt:variant>
        <vt:i4>0</vt:i4>
      </vt:variant>
      <vt:variant>
        <vt:i4>5</vt:i4>
      </vt:variant>
      <vt:variant>
        <vt:lpwstr>https://www.rivm.nl/bibliotheek/rapporten/601351001.pdf</vt:lpwstr>
      </vt:variant>
      <vt:variant>
        <vt:lpwstr/>
      </vt:variant>
      <vt:variant>
        <vt:i4>6422568</vt:i4>
      </vt:variant>
      <vt:variant>
        <vt:i4>135</vt:i4>
      </vt:variant>
      <vt:variant>
        <vt:i4>0</vt:i4>
      </vt:variant>
      <vt:variant>
        <vt:i4>5</vt:i4>
      </vt:variant>
      <vt:variant>
        <vt:lpwstr>https://doi.org/10.1093/toxsci/kfad136</vt:lpwstr>
      </vt:variant>
      <vt:variant>
        <vt:lpwstr/>
      </vt:variant>
      <vt:variant>
        <vt:i4>327750</vt:i4>
      </vt:variant>
      <vt:variant>
        <vt:i4>132</vt:i4>
      </vt:variant>
      <vt:variant>
        <vt:i4>0</vt:i4>
      </vt:variant>
      <vt:variant>
        <vt:i4>5</vt:i4>
      </vt:variant>
      <vt:variant>
        <vt:lpwstr>https://doi.org/10.1080/15376516.2022.2057265</vt:lpwstr>
      </vt:variant>
      <vt:variant>
        <vt:lpwstr/>
      </vt:variant>
      <vt:variant>
        <vt:i4>1310745</vt:i4>
      </vt:variant>
      <vt:variant>
        <vt:i4>129</vt:i4>
      </vt:variant>
      <vt:variant>
        <vt:i4>0</vt:i4>
      </vt:variant>
      <vt:variant>
        <vt:i4>5</vt:i4>
      </vt:variant>
      <vt:variant>
        <vt:lpwstr>https://doi.org/10.1017/s204017441400004x</vt:lpwstr>
      </vt:variant>
      <vt:variant>
        <vt:lpwstr/>
      </vt:variant>
      <vt:variant>
        <vt:i4>4718601</vt:i4>
      </vt:variant>
      <vt:variant>
        <vt:i4>126</vt:i4>
      </vt:variant>
      <vt:variant>
        <vt:i4>0</vt:i4>
      </vt:variant>
      <vt:variant>
        <vt:i4>5</vt:i4>
      </vt:variant>
      <vt:variant>
        <vt:lpwstr>https://doi.org/10.1016/j.fct.2022.113292</vt:lpwstr>
      </vt:variant>
      <vt:variant>
        <vt:lpwstr/>
      </vt:variant>
      <vt:variant>
        <vt:i4>5898271</vt:i4>
      </vt:variant>
      <vt:variant>
        <vt:i4>123</vt:i4>
      </vt:variant>
      <vt:variant>
        <vt:i4>0</vt:i4>
      </vt:variant>
      <vt:variant>
        <vt:i4>5</vt:i4>
      </vt:variant>
      <vt:variant>
        <vt:lpwstr>https://doi.org/10.1096/fj.14-255380</vt:lpwstr>
      </vt:variant>
      <vt:variant>
        <vt:lpwstr/>
      </vt:variant>
      <vt:variant>
        <vt:i4>4718659</vt:i4>
      </vt:variant>
      <vt:variant>
        <vt:i4>120</vt:i4>
      </vt:variant>
      <vt:variant>
        <vt:i4>0</vt:i4>
      </vt:variant>
      <vt:variant>
        <vt:i4>5</vt:i4>
      </vt:variant>
      <vt:variant>
        <vt:lpwstr>https://doi.org/10.1371/journal.pone.0112752</vt:lpwstr>
      </vt:variant>
      <vt:variant>
        <vt:lpwstr/>
      </vt:variant>
      <vt:variant>
        <vt:i4>917527</vt:i4>
      </vt:variant>
      <vt:variant>
        <vt:i4>117</vt:i4>
      </vt:variant>
      <vt:variant>
        <vt:i4>0</vt:i4>
      </vt:variant>
      <vt:variant>
        <vt:i4>5</vt:i4>
      </vt:variant>
      <vt:variant>
        <vt:lpwstr>https://doi.org/10.1007/s00204-017-2038-2</vt:lpwstr>
      </vt:variant>
      <vt:variant>
        <vt:lpwstr/>
      </vt:variant>
      <vt:variant>
        <vt:i4>2818101</vt:i4>
      </vt:variant>
      <vt:variant>
        <vt:i4>114</vt:i4>
      </vt:variant>
      <vt:variant>
        <vt:i4>0</vt:i4>
      </vt:variant>
      <vt:variant>
        <vt:i4>5</vt:i4>
      </vt:variant>
      <vt:variant>
        <vt:lpwstr>https://doi.org/10.1016/j.etap.2016.09.017</vt:lpwstr>
      </vt:variant>
      <vt:variant>
        <vt:lpwstr/>
      </vt:variant>
      <vt:variant>
        <vt:i4>3211323</vt:i4>
      </vt:variant>
      <vt:variant>
        <vt:i4>111</vt:i4>
      </vt:variant>
      <vt:variant>
        <vt:i4>0</vt:i4>
      </vt:variant>
      <vt:variant>
        <vt:i4>5</vt:i4>
      </vt:variant>
      <vt:variant>
        <vt:lpwstr>https://doi.org/10.1038/cddis.2013.203</vt:lpwstr>
      </vt:variant>
      <vt:variant>
        <vt:lpwstr/>
      </vt:variant>
      <vt:variant>
        <vt:i4>2687097</vt:i4>
      </vt:variant>
      <vt:variant>
        <vt:i4>108</vt:i4>
      </vt:variant>
      <vt:variant>
        <vt:i4>0</vt:i4>
      </vt:variant>
      <vt:variant>
        <vt:i4>5</vt:i4>
      </vt:variant>
      <vt:variant>
        <vt:lpwstr>https://doi.org/10.1016/j.ijheh.2022.113942</vt:lpwstr>
      </vt:variant>
      <vt:variant>
        <vt:lpwstr/>
      </vt:variant>
      <vt:variant>
        <vt:i4>5439574</vt:i4>
      </vt:variant>
      <vt:variant>
        <vt:i4>105</vt:i4>
      </vt:variant>
      <vt:variant>
        <vt:i4>0</vt:i4>
      </vt:variant>
      <vt:variant>
        <vt:i4>5</vt:i4>
      </vt:variant>
      <vt:variant>
        <vt:lpwstr>https://doi.org/10.1016/j.envpol.2024.123445</vt:lpwstr>
      </vt:variant>
      <vt:variant>
        <vt:lpwstr/>
      </vt:variant>
      <vt:variant>
        <vt:i4>6422648</vt:i4>
      </vt:variant>
      <vt:variant>
        <vt:i4>102</vt:i4>
      </vt:variant>
      <vt:variant>
        <vt:i4>0</vt:i4>
      </vt:variant>
      <vt:variant>
        <vt:i4>5</vt:i4>
      </vt:variant>
      <vt:variant>
        <vt:lpwstr>https://doi.org/10.3390/app13063587</vt:lpwstr>
      </vt:variant>
      <vt:variant>
        <vt:lpwstr/>
      </vt:variant>
      <vt:variant>
        <vt:i4>3407918</vt:i4>
      </vt:variant>
      <vt:variant>
        <vt:i4>99</vt:i4>
      </vt:variant>
      <vt:variant>
        <vt:i4>0</vt:i4>
      </vt:variant>
      <vt:variant>
        <vt:i4>5</vt:i4>
      </vt:variant>
      <vt:variant>
        <vt:lpwstr>https://doi.org/10.3389/fendo.2022.1071761</vt:lpwstr>
      </vt:variant>
      <vt:variant>
        <vt:lpwstr/>
      </vt:variant>
      <vt:variant>
        <vt:i4>4718673</vt:i4>
      </vt:variant>
      <vt:variant>
        <vt:i4>96</vt:i4>
      </vt:variant>
      <vt:variant>
        <vt:i4>0</vt:i4>
      </vt:variant>
      <vt:variant>
        <vt:i4>5</vt:i4>
      </vt:variant>
      <vt:variant>
        <vt:lpwstr>https://doi.org/10.1016/j.envres.2024.119034</vt:lpwstr>
      </vt:variant>
      <vt:variant>
        <vt:lpwstr/>
      </vt:variant>
      <vt:variant>
        <vt:i4>65625</vt:i4>
      </vt:variant>
      <vt:variant>
        <vt:i4>93</vt:i4>
      </vt:variant>
      <vt:variant>
        <vt:i4>0</vt:i4>
      </vt:variant>
      <vt:variant>
        <vt:i4>5</vt:i4>
      </vt:variant>
      <vt:variant>
        <vt:lpwstr>https://doi.org/10.3390/ijms24087418</vt:lpwstr>
      </vt:variant>
      <vt:variant>
        <vt:lpwstr/>
      </vt:variant>
      <vt:variant>
        <vt:i4>4587548</vt:i4>
      </vt:variant>
      <vt:variant>
        <vt:i4>90</vt:i4>
      </vt:variant>
      <vt:variant>
        <vt:i4>0</vt:i4>
      </vt:variant>
      <vt:variant>
        <vt:i4>5</vt:i4>
      </vt:variant>
      <vt:variant>
        <vt:lpwstr>https://www.fda.gov/media/90124/download</vt:lpwstr>
      </vt:variant>
      <vt:variant>
        <vt:lpwstr/>
      </vt:variant>
      <vt:variant>
        <vt:i4>1572866</vt:i4>
      </vt:variant>
      <vt:variant>
        <vt:i4>87</vt:i4>
      </vt:variant>
      <vt:variant>
        <vt:i4>0</vt:i4>
      </vt:variant>
      <vt:variant>
        <vt:i4>5</vt:i4>
      </vt:variant>
      <vt:variant>
        <vt:lpwstr>https://doi.org/10.2903/j.efsa.2023.6857</vt:lpwstr>
      </vt:variant>
      <vt:variant>
        <vt:lpwstr/>
      </vt:variant>
      <vt:variant>
        <vt:i4>2555967</vt:i4>
      </vt:variant>
      <vt:variant>
        <vt:i4>84</vt:i4>
      </vt:variant>
      <vt:variant>
        <vt:i4>0</vt:i4>
      </vt:variant>
      <vt:variant>
        <vt:i4>5</vt:i4>
      </vt:variant>
      <vt:variant>
        <vt:lpwstr>https://www.efsa.europa.eu/sites/default/files/2023-04/ema-efsa-article-30.pdf</vt:lpwstr>
      </vt:variant>
      <vt:variant>
        <vt:lpwstr/>
      </vt:variant>
      <vt:variant>
        <vt:i4>3538994</vt:i4>
      </vt:variant>
      <vt:variant>
        <vt:i4>81</vt:i4>
      </vt:variant>
      <vt:variant>
        <vt:i4>0</vt:i4>
      </vt:variant>
      <vt:variant>
        <vt:i4>5</vt:i4>
      </vt:variant>
      <vt:variant>
        <vt:lpwstr>https://www.efsa.europa.eu/sites/default/files/2023-04/bfr-efsa-art-30.pdf</vt:lpwstr>
      </vt:variant>
      <vt:variant>
        <vt:lpwstr/>
      </vt:variant>
      <vt:variant>
        <vt:i4>5832716</vt:i4>
      </vt:variant>
      <vt:variant>
        <vt:i4>78</vt:i4>
      </vt:variant>
      <vt:variant>
        <vt:i4>0</vt:i4>
      </vt:variant>
      <vt:variant>
        <vt:i4>5</vt:i4>
      </vt:variant>
      <vt:variant>
        <vt:lpwstr>http://www.efsa.europa.eu/efsajournal</vt:lpwstr>
      </vt:variant>
      <vt:variant>
        <vt:lpwstr/>
      </vt:variant>
      <vt:variant>
        <vt:i4>6029378</vt:i4>
      </vt:variant>
      <vt:variant>
        <vt:i4>75</vt:i4>
      </vt:variant>
      <vt:variant>
        <vt:i4>0</vt:i4>
      </vt:variant>
      <vt:variant>
        <vt:i4>5</vt:i4>
      </vt:variant>
      <vt:variant>
        <vt:lpwstr>https://doi.org/10.1016/j.ecoenv.2023.114788</vt:lpwstr>
      </vt:variant>
      <vt:variant>
        <vt:lpwstr/>
      </vt:variant>
      <vt:variant>
        <vt:i4>3276841</vt:i4>
      </vt:variant>
      <vt:variant>
        <vt:i4>72</vt:i4>
      </vt:variant>
      <vt:variant>
        <vt:i4>0</vt:i4>
      </vt:variant>
      <vt:variant>
        <vt:i4>5</vt:i4>
      </vt:variant>
      <vt:variant>
        <vt:lpwstr>https://doi.org/10.1016/j.taap.2018.03.021</vt:lpwstr>
      </vt:variant>
      <vt:variant>
        <vt:lpwstr/>
      </vt:variant>
      <vt:variant>
        <vt:i4>852032</vt:i4>
      </vt:variant>
      <vt:variant>
        <vt:i4>69</vt:i4>
      </vt:variant>
      <vt:variant>
        <vt:i4>0</vt:i4>
      </vt:variant>
      <vt:variant>
        <vt:i4>5</vt:i4>
      </vt:variant>
      <vt:variant>
        <vt:lpwstr>https://doi.org/10.1080/15376516.2023.2279723</vt:lpwstr>
      </vt:variant>
      <vt:variant>
        <vt:lpwstr/>
      </vt:variant>
      <vt:variant>
        <vt:i4>4128830</vt:i4>
      </vt:variant>
      <vt:variant>
        <vt:i4>66</vt:i4>
      </vt:variant>
      <vt:variant>
        <vt:i4>0</vt:i4>
      </vt:variant>
      <vt:variant>
        <vt:i4>5</vt:i4>
      </vt:variant>
      <vt:variant>
        <vt:lpwstr>https://doi.org/10.46756/sci.fsa.sjl259</vt:lpwstr>
      </vt:variant>
      <vt:variant>
        <vt:lpwstr/>
      </vt:variant>
      <vt:variant>
        <vt:i4>4915215</vt:i4>
      </vt:variant>
      <vt:variant>
        <vt:i4>63</vt:i4>
      </vt:variant>
      <vt:variant>
        <vt:i4>0</vt:i4>
      </vt:variant>
      <vt:variant>
        <vt:i4>5</vt:i4>
      </vt:variant>
      <vt:variant>
        <vt:lpwstr>https://doi.org/10.1016/j.fct.2019.110728</vt:lpwstr>
      </vt:variant>
      <vt:variant>
        <vt:lpwstr/>
      </vt:variant>
      <vt:variant>
        <vt:i4>4456525</vt:i4>
      </vt:variant>
      <vt:variant>
        <vt:i4>60</vt:i4>
      </vt:variant>
      <vt:variant>
        <vt:i4>0</vt:i4>
      </vt:variant>
      <vt:variant>
        <vt:i4>5</vt:i4>
      </vt:variant>
      <vt:variant>
        <vt:lpwstr>https://doi.org/10.1093/toxsci/kft242</vt:lpwstr>
      </vt:variant>
      <vt:variant>
        <vt:lpwstr/>
      </vt:variant>
      <vt:variant>
        <vt:i4>2228334</vt:i4>
      </vt:variant>
      <vt:variant>
        <vt:i4>57</vt:i4>
      </vt:variant>
      <vt:variant>
        <vt:i4>0</vt:i4>
      </vt:variant>
      <vt:variant>
        <vt:i4>5</vt:i4>
      </vt:variant>
      <vt:variant>
        <vt:lpwstr>https://doi.org/10.17590/20230419-114234-0</vt:lpwstr>
      </vt:variant>
      <vt:variant>
        <vt:lpwstr/>
      </vt:variant>
      <vt:variant>
        <vt:i4>2031699</vt:i4>
      </vt:variant>
      <vt:variant>
        <vt:i4>54</vt:i4>
      </vt:variant>
      <vt:variant>
        <vt:i4>0</vt:i4>
      </vt:variant>
      <vt:variant>
        <vt:i4>5</vt:i4>
      </vt:variant>
      <vt:variant>
        <vt:lpwstr>https://cot.food.gov.uk/Position paper on bisphenol A</vt:lpwstr>
      </vt:variant>
      <vt:variant>
        <vt:lpwstr/>
      </vt:variant>
      <vt:variant>
        <vt:i4>6291557</vt:i4>
      </vt:variant>
      <vt:variant>
        <vt:i4>51</vt:i4>
      </vt:variant>
      <vt:variant>
        <vt:i4>0</vt:i4>
      </vt:variant>
      <vt:variant>
        <vt:i4>5</vt:i4>
      </vt:variant>
      <vt:variant>
        <vt:lpwstr>https://foodgov.sharepoint.com/sites/EXTCommitteeofToxicityCOT-MembersArea/Shared Documents/Members Area/BPA/Supplementary Statement/V</vt:lpwstr>
      </vt:variant>
      <vt:variant>
        <vt:lpwstr/>
      </vt:variant>
      <vt:variant>
        <vt:i4>4194383</vt:i4>
      </vt:variant>
      <vt:variant>
        <vt:i4>48</vt:i4>
      </vt:variant>
      <vt:variant>
        <vt:i4>0</vt:i4>
      </vt:variant>
      <vt:variant>
        <vt:i4>5</vt:i4>
      </vt:variant>
      <vt:variant>
        <vt:lpwstr>https://cot.food.gov.uk/Fifth Draft Interim Position Statement on Bisphenol A</vt:lpwstr>
      </vt:variant>
      <vt:variant>
        <vt:lpwstr/>
      </vt:variant>
      <vt:variant>
        <vt:i4>8257636</vt:i4>
      </vt:variant>
      <vt:variant>
        <vt:i4>45</vt:i4>
      </vt:variant>
      <vt:variant>
        <vt:i4>0</vt:i4>
      </vt:variant>
      <vt:variant>
        <vt:i4>5</vt:i4>
      </vt:variant>
      <vt:variant>
        <vt:lpwstr>https://cot.food.gov.uk/Fourth draft interim position paper on bisphenol A</vt:lpwstr>
      </vt:variant>
      <vt:variant>
        <vt:lpwstr/>
      </vt:variant>
      <vt:variant>
        <vt:i4>2162802</vt:i4>
      </vt:variant>
      <vt:variant>
        <vt:i4>42</vt:i4>
      </vt:variant>
      <vt:variant>
        <vt:i4>0</vt:i4>
      </vt:variant>
      <vt:variant>
        <vt:i4>5</vt:i4>
      </vt:variant>
      <vt:variant>
        <vt:lpwstr>https://cot.food.gov.uk/Bisphenol A: The Dutch National Institute for Public Health and the Environment (RIVM), BPA Part 2</vt:lpwstr>
      </vt:variant>
      <vt:variant>
        <vt:lpwstr/>
      </vt:variant>
      <vt:variant>
        <vt:i4>4653150</vt:i4>
      </vt:variant>
      <vt:variant>
        <vt:i4>39</vt:i4>
      </vt:variant>
      <vt:variant>
        <vt:i4>0</vt:i4>
      </vt:variant>
      <vt:variant>
        <vt:i4>5</vt:i4>
      </vt:variant>
      <vt:variant>
        <vt:lpwstr>https://cot.food.gov.uk/Third draft interim position statement on bisphenol A</vt:lpwstr>
      </vt:variant>
      <vt:variant>
        <vt:lpwstr/>
      </vt:variant>
      <vt:variant>
        <vt:i4>6422633</vt:i4>
      </vt:variant>
      <vt:variant>
        <vt:i4>36</vt:i4>
      </vt:variant>
      <vt:variant>
        <vt:i4>0</vt:i4>
      </vt:variant>
      <vt:variant>
        <vt:i4>5</vt:i4>
      </vt:variant>
      <vt:variant>
        <vt:lpwstr>https://cot.food.gov.uk/Second draft interim position statement on bisphenol A</vt:lpwstr>
      </vt:variant>
      <vt:variant>
        <vt:lpwstr/>
      </vt:variant>
      <vt:variant>
        <vt:i4>327710</vt:i4>
      </vt:variant>
      <vt:variant>
        <vt:i4>33</vt:i4>
      </vt:variant>
      <vt:variant>
        <vt:i4>0</vt:i4>
      </vt:variant>
      <vt:variant>
        <vt:i4>5</vt:i4>
      </vt:variant>
      <vt:variant>
        <vt:lpwstr>https://cot.food.gov.uk/EFSA 2023 re-evaluation of the risk to public health from bisphenol A (BPA) in foodstuffs</vt:lpwstr>
      </vt:variant>
      <vt:variant>
        <vt:lpwstr/>
      </vt:variant>
      <vt:variant>
        <vt:i4>2883700</vt:i4>
      </vt:variant>
      <vt:variant>
        <vt:i4>30</vt:i4>
      </vt:variant>
      <vt:variant>
        <vt:i4>0</vt:i4>
      </vt:variant>
      <vt:variant>
        <vt:i4>5</vt:i4>
      </vt:variant>
      <vt:variant>
        <vt:lpwstr>https://cot.food.gov.uk/COTMeeting10thFebruary2022</vt:lpwstr>
      </vt:variant>
      <vt:variant>
        <vt:lpwstr/>
      </vt:variant>
      <vt:variant>
        <vt:i4>4194330</vt:i4>
      </vt:variant>
      <vt:variant>
        <vt:i4>27</vt:i4>
      </vt:variant>
      <vt:variant>
        <vt:i4>0</vt:i4>
      </vt:variant>
      <vt:variant>
        <vt:i4>5</vt:i4>
      </vt:variant>
      <vt:variant>
        <vt:lpwstr>https://www.fda.gov/media/90546/download</vt:lpwstr>
      </vt:variant>
      <vt:variant>
        <vt:lpwstr/>
      </vt:variant>
      <vt:variant>
        <vt:i4>7602221</vt:i4>
      </vt:variant>
      <vt:variant>
        <vt:i4>24</vt:i4>
      </vt:variant>
      <vt:variant>
        <vt:i4>0</vt:i4>
      </vt:variant>
      <vt:variant>
        <vt:i4>5</vt:i4>
      </vt:variant>
      <vt:variant>
        <vt:lpwstr>https://iris.who.int/bitstream/handle/10665/259858/9789241513548-eng.pdf?sequence=1%5d</vt:lpwstr>
      </vt:variant>
      <vt:variant>
        <vt:lpwstr/>
      </vt:variant>
      <vt:variant>
        <vt:i4>3538994</vt:i4>
      </vt:variant>
      <vt:variant>
        <vt:i4>21</vt:i4>
      </vt:variant>
      <vt:variant>
        <vt:i4>0</vt:i4>
      </vt:variant>
      <vt:variant>
        <vt:i4>5</vt:i4>
      </vt:variant>
      <vt:variant>
        <vt:lpwstr>https://www.efsa.europa.eu/sites/default/files/2023-04/bfr-efsa-art-30.pdf</vt:lpwstr>
      </vt:variant>
      <vt:variant>
        <vt:lpwstr/>
      </vt:variant>
      <vt:variant>
        <vt:i4>2555967</vt:i4>
      </vt:variant>
      <vt:variant>
        <vt:i4>18</vt:i4>
      </vt:variant>
      <vt:variant>
        <vt:i4>0</vt:i4>
      </vt:variant>
      <vt:variant>
        <vt:i4>5</vt:i4>
      </vt:variant>
      <vt:variant>
        <vt:lpwstr>https://www.efsa.europa.eu/sites/default/files/2023-04/ema-efsa-article-30.pdf</vt:lpwstr>
      </vt:variant>
      <vt:variant>
        <vt:lpwstr/>
      </vt:variant>
      <vt:variant>
        <vt:i4>1114201</vt:i4>
      </vt:variant>
      <vt:variant>
        <vt:i4>15</vt:i4>
      </vt:variant>
      <vt:variant>
        <vt:i4>0</vt:i4>
      </vt:variant>
      <vt:variant>
        <vt:i4>5</vt:i4>
      </vt:variant>
      <vt:variant>
        <vt:lpwstr>https://eur-lex.europa.eu/eli/reg/2004/726/oj/eng</vt:lpwstr>
      </vt:variant>
      <vt:variant>
        <vt:lpwstr/>
      </vt:variant>
      <vt:variant>
        <vt:i4>2031708</vt:i4>
      </vt:variant>
      <vt:variant>
        <vt:i4>12</vt:i4>
      </vt:variant>
      <vt:variant>
        <vt:i4>0</vt:i4>
      </vt:variant>
      <vt:variant>
        <vt:i4>5</vt:i4>
      </vt:variant>
      <vt:variant>
        <vt:lpwstr>https://eur-lex.europa.eu/eli/reg/2002/178/oj/eng</vt:lpwstr>
      </vt:variant>
      <vt:variant>
        <vt:lpwstr/>
      </vt:variant>
      <vt:variant>
        <vt:i4>2752617</vt:i4>
      </vt:variant>
      <vt:variant>
        <vt:i4>9</vt:i4>
      </vt:variant>
      <vt:variant>
        <vt:i4>0</vt:i4>
      </vt:variant>
      <vt:variant>
        <vt:i4>5</vt:i4>
      </vt:variant>
      <vt:variant>
        <vt:lpwstr>https://eur03.safelinks.protection.outlook.com/?url=https%3A%2F%2Fwww.rivm.nl%2Fpublicaties%2Fbisphenol-a-part-2-recommendations-for-risk-management&amp;data=05%7C01%7C%7C39b6613e0b6f44a0dab508dbe06b0c72%7C8a1c50f901b74c8aa6fa90eb906f18e9%7C0%7C0%7C638350522620068818%7CUnknown%7CTWFpbGZsb3d8eyJWIjoiMC4wLjAwMDAiLCJQIjoiV2luMzIiLCJBTiI6Ik1haWwiLCJXVCI6Mn0%3D%7C3000%7C%7C%7C&amp;sdata=hnCHtBjSQSIJ9stWLJIJ1S8M5ONdIphzAqAn%2Fraophs%3D&amp;reserved=0</vt:lpwstr>
      </vt:variant>
      <vt:variant>
        <vt:lpwstr/>
      </vt:variant>
      <vt:variant>
        <vt:i4>7995490</vt:i4>
      </vt:variant>
      <vt:variant>
        <vt:i4>6</vt:i4>
      </vt:variant>
      <vt:variant>
        <vt:i4>0</vt:i4>
      </vt:variant>
      <vt:variant>
        <vt:i4>5</vt:i4>
      </vt:variant>
      <vt:variant>
        <vt:lpwstr>https://eur03.safelinks.protection.outlook.com/?url=https%3A%2F%2Fwww.rivm.nl%2Fpublicaties%2Fbisphenol-a-part-1-facts-and-figures-on-human-and-environmental-health-issues-and&amp;data=05%7C01%7C%7C99dbfae29b8144fe8ef508dbc8b11478%7C8a1c50f901b74c8aa6fa90eb906f18e9%7C0%7C0%7C638324435096361308%7CUnknown%7CTWFpbGZsb3d8eyJWIjoiMC4wLjAwMDAiLCJQIjoiV2luMzIiLCJBTiI6Ik1haWwiLCJXVCI6Mn0%3D%7C3000%7C%7C%7C&amp;sdata=nZ8Vm6O29r7KMZ77BIKQTnkcFva4MgLV%2BDZMpS49hRs%3D&amp;reserved=0</vt:lpwstr>
      </vt:variant>
      <vt:variant>
        <vt:lpwstr/>
      </vt:variant>
      <vt:variant>
        <vt:i4>2097244</vt:i4>
      </vt:variant>
      <vt:variant>
        <vt:i4>3</vt:i4>
      </vt:variant>
      <vt:variant>
        <vt:i4>0</vt:i4>
      </vt:variant>
      <vt:variant>
        <vt:i4>5</vt:i4>
      </vt:variant>
      <vt:variant>
        <vt:lpwstr>https://publications.europa.eu/resource/cellar/6bf54b59-7673-461b-b8e1-f24c545cbd3c.0006.05/DOC_1</vt:lpwstr>
      </vt:variant>
      <vt:variant>
        <vt:lpwstr/>
      </vt:variant>
      <vt:variant>
        <vt:i4>7536742</vt:i4>
      </vt:variant>
      <vt:variant>
        <vt:i4>0</vt:i4>
      </vt:variant>
      <vt:variant>
        <vt:i4>0</vt:i4>
      </vt:variant>
      <vt:variant>
        <vt:i4>5</vt:i4>
      </vt:variant>
      <vt:variant>
        <vt:lpwstr>https://eur-lex.europa.eu/eli/reg/2024/3190/oj/eng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Doerr</dc:creator>
  <cp:keywords/>
  <dc:description/>
  <cp:lastModifiedBy>Cath Mulholland</cp:lastModifiedBy>
  <cp:revision>8</cp:revision>
  <cp:lastPrinted>2019-05-31T10:28:00Z</cp:lastPrinted>
  <dcterms:created xsi:type="dcterms:W3CDTF">2025-11-26T17:31:00Z</dcterms:created>
  <dcterms:modified xsi:type="dcterms:W3CDTF">2025-11-26T17:41:00Z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0x010100F8EE308ADF0C83469E709585E16A2AB6</vt:lpwstr>
  </property>
  <property fmtid="{D5CDD505-2E9C-101B-9397-08002B2CF9AE}" pid="3" name="Information Type">
    <vt:lpwstr>13;#Technical documentation|d4b01314-e0c1-47e9-9a0b-f719dee1cd3c</vt:lpwstr>
  </property>
  <property fmtid="{D5CDD505-2E9C-101B-9397-08002B2CF9AE}" pid="4" name="MediaServiceImageTags">
    <vt:lpwstr/>
  </property>
  <property fmtid="{D5CDD505-2E9C-101B-9397-08002B2CF9AE}" pid="5" name="lcf76f155ced4ddcb4097134ff3c332f">
    <vt:lpwstr/>
  </property>
  <property fmtid="{D5CDD505-2E9C-101B-9397-08002B2CF9AE}" pid="6" name="ClassificationContentMarkingHeaderShapeIds">
    <vt:lpwstr>2796cfbf,1e434d0,148ecf3d</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y fmtid="{D5CDD505-2E9C-101B-9397-08002B2CF9AE}" pid="9" name="ClassificationContentMarkingFooterShapeIds">
    <vt:lpwstr>55d03662,669eafe1,1f3d89be</vt:lpwstr>
  </property>
  <property fmtid="{D5CDD505-2E9C-101B-9397-08002B2CF9AE}" pid="10" name="ClassificationContentMarkingFooterFontProps">
    <vt:lpwstr>#000000,12,Calibri</vt:lpwstr>
  </property>
  <property fmtid="{D5CDD505-2E9C-101B-9397-08002B2CF9AE}" pid="11" name="ClassificationContentMarkingFooterText">
    <vt:lpwstr>OFFICIAL</vt:lpwstr>
  </property>
</Properties>
</file>