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C2" w:rsidRPr="00F94FA9" w:rsidRDefault="00CF23B1" w:rsidP="00CF23B1">
      <w:pPr>
        <w:rPr>
          <w:rFonts w:eastAsia="Times New Roman" w:cs="Times New Roman"/>
          <w:b/>
          <w:sz w:val="28"/>
          <w:szCs w:val="28"/>
          <w:lang w:eastAsia="en-GB"/>
        </w:rPr>
      </w:pPr>
      <w:r>
        <w:rPr>
          <w:b/>
        </w:rPr>
        <w:tab/>
      </w:r>
      <w:r w:rsidR="00515EC2">
        <w:rPr>
          <w:rFonts w:eastAsia="Times New Roman" w:cs="Times New Roman"/>
          <w:b/>
          <w:sz w:val="28"/>
          <w:szCs w:val="28"/>
          <w:lang w:eastAsia="en-GB"/>
        </w:rPr>
        <w:tab/>
      </w:r>
      <w:r w:rsidR="00515EC2">
        <w:rPr>
          <w:rFonts w:eastAsia="Times New Roman" w:cs="Times New Roman"/>
          <w:b/>
          <w:sz w:val="28"/>
          <w:szCs w:val="28"/>
          <w:lang w:eastAsia="en-GB"/>
        </w:rPr>
        <w:tab/>
      </w:r>
      <w:r w:rsidR="00515EC2">
        <w:rPr>
          <w:rFonts w:eastAsia="Times New Roman" w:cs="Times New Roman"/>
          <w:b/>
          <w:sz w:val="28"/>
          <w:szCs w:val="28"/>
          <w:lang w:eastAsia="en-GB"/>
        </w:rPr>
        <w:tab/>
      </w:r>
      <w:r w:rsidR="00515EC2">
        <w:rPr>
          <w:rFonts w:eastAsia="Times New Roman" w:cs="Times New Roman"/>
          <w:b/>
          <w:sz w:val="28"/>
          <w:szCs w:val="28"/>
          <w:lang w:eastAsia="en-GB"/>
        </w:rPr>
        <w:tab/>
      </w:r>
      <w:r w:rsidR="00515EC2">
        <w:rPr>
          <w:rFonts w:eastAsia="Times New Roman" w:cs="Times New Roman"/>
          <w:b/>
          <w:sz w:val="28"/>
          <w:szCs w:val="28"/>
          <w:lang w:eastAsia="en-GB"/>
        </w:rPr>
        <w:tab/>
      </w:r>
      <w:r w:rsidR="00515EC2">
        <w:rPr>
          <w:rFonts w:eastAsia="Times New Roman" w:cs="Times New Roman"/>
          <w:b/>
          <w:sz w:val="28"/>
          <w:szCs w:val="28"/>
          <w:lang w:eastAsia="en-GB"/>
        </w:rPr>
        <w:tab/>
      </w:r>
      <w:r w:rsidR="00515EC2">
        <w:rPr>
          <w:rFonts w:eastAsia="Times New Roman" w:cs="Times New Roman"/>
          <w:b/>
          <w:sz w:val="28"/>
          <w:szCs w:val="28"/>
          <w:lang w:eastAsia="en-GB"/>
        </w:rPr>
        <w:tab/>
      </w:r>
    </w:p>
    <w:p w:rsidR="00515EC2" w:rsidRPr="00F94FA9" w:rsidRDefault="00515EC2" w:rsidP="00515EC2">
      <w:pPr>
        <w:tabs>
          <w:tab w:val="left" w:pos="-720"/>
        </w:tabs>
        <w:suppressAutoHyphens/>
        <w:rPr>
          <w:rFonts w:eastAsia="Times New Roman" w:cs="Times New Roman"/>
          <w:b/>
          <w:sz w:val="28"/>
          <w:szCs w:val="28"/>
          <w:lang w:eastAsia="en-GB"/>
        </w:rPr>
      </w:pPr>
      <w:r w:rsidRPr="00F94FA9">
        <w:rPr>
          <w:rFonts w:eastAsia="Times New Roman" w:cs="Times New Roman"/>
          <w:b/>
          <w:sz w:val="28"/>
          <w:szCs w:val="28"/>
          <w:lang w:eastAsia="en-GB"/>
        </w:rPr>
        <w:t>COMMITTEE ON TOXICITY OF CHEMICALS IN FOOD, CONSUMER PRODUCTS AND THE ENVIRONMENT</w:t>
      </w:r>
    </w:p>
    <w:p w:rsidR="00515EC2" w:rsidRPr="00F94FA9" w:rsidRDefault="00515EC2" w:rsidP="00515EC2">
      <w:pPr>
        <w:rPr>
          <w:rStyle w:val="SubtleReference"/>
          <w:rFonts w:cs="Arial"/>
          <w:b/>
          <w:smallCaps w:val="0"/>
          <w:color w:val="auto"/>
        </w:rPr>
      </w:pPr>
    </w:p>
    <w:p w:rsidR="00515EC2" w:rsidRPr="00F94FA9" w:rsidRDefault="00632F1B" w:rsidP="00515EC2">
      <w:pPr>
        <w:rPr>
          <w:rStyle w:val="SubtleReference"/>
          <w:rFonts w:cs="Arial"/>
          <w:b/>
          <w:smallCaps w:val="0"/>
          <w:color w:val="auto"/>
        </w:rPr>
      </w:pPr>
      <w:r w:rsidRPr="0099090B">
        <w:rPr>
          <w:rStyle w:val="SubtleReference"/>
          <w:rFonts w:cs="Arial"/>
          <w:b/>
          <w:smallCaps w:val="0"/>
          <w:color w:val="auto"/>
        </w:rPr>
        <w:t xml:space="preserve">Statement on </w:t>
      </w:r>
      <w:r w:rsidR="00515EC2" w:rsidRPr="0099090B">
        <w:rPr>
          <w:rStyle w:val="SubtleReference"/>
          <w:rFonts w:cs="Arial"/>
          <w:b/>
          <w:smallCaps w:val="0"/>
          <w:color w:val="auto"/>
        </w:rPr>
        <w:t>interactions between xenobiotics and the human microbiota</w:t>
      </w:r>
      <w:r w:rsidR="002644AE">
        <w:rPr>
          <w:rStyle w:val="SubtleReference"/>
          <w:rFonts w:cs="Arial"/>
          <w:b/>
          <w:smallCaps w:val="0"/>
          <w:color w:val="auto"/>
        </w:rPr>
        <w:t xml:space="preserve"> and their potential toxicological implications</w:t>
      </w:r>
      <w:r>
        <w:rPr>
          <w:rStyle w:val="SubtleReference"/>
          <w:rFonts w:cs="Arial"/>
          <w:b/>
          <w:smallCaps w:val="0"/>
          <w:color w:val="auto"/>
        </w:rPr>
        <w:t>.</w:t>
      </w:r>
    </w:p>
    <w:p w:rsidR="00515EC2" w:rsidRPr="00F94FA9" w:rsidRDefault="00515EC2" w:rsidP="00515EC2">
      <w:pPr>
        <w:rPr>
          <w:rStyle w:val="SubtleReference"/>
          <w:rFonts w:cs="Arial"/>
          <w:b/>
          <w:smallCaps w:val="0"/>
          <w:color w:val="auto"/>
        </w:rPr>
      </w:pPr>
    </w:p>
    <w:p w:rsidR="00515EC2" w:rsidRDefault="00515EC2" w:rsidP="00515EC2">
      <w:pPr>
        <w:rPr>
          <w:rStyle w:val="SubtleReference"/>
          <w:rFonts w:cs="Arial"/>
          <w:b/>
          <w:smallCaps w:val="0"/>
          <w:color w:val="auto"/>
        </w:rPr>
      </w:pPr>
      <w:r w:rsidRPr="00F94FA9">
        <w:rPr>
          <w:rStyle w:val="SubtleReference"/>
          <w:rFonts w:cs="Arial"/>
          <w:b/>
          <w:smallCaps w:val="0"/>
          <w:color w:val="auto"/>
        </w:rPr>
        <w:t>I</w:t>
      </w:r>
      <w:r w:rsidR="00BA17B9">
        <w:rPr>
          <w:rStyle w:val="SubtleReference"/>
          <w:rFonts w:cs="Arial"/>
          <w:b/>
          <w:smallCaps w:val="0"/>
          <w:color w:val="auto"/>
        </w:rPr>
        <w:t>n</w:t>
      </w:r>
      <w:r w:rsidRPr="00F94FA9">
        <w:rPr>
          <w:rStyle w:val="SubtleReference"/>
          <w:rFonts w:cs="Arial"/>
          <w:b/>
          <w:smallCaps w:val="0"/>
          <w:color w:val="auto"/>
        </w:rPr>
        <w:t>troduction</w:t>
      </w:r>
    </w:p>
    <w:p w:rsidR="00030E44" w:rsidRPr="00F40887" w:rsidRDefault="00BA17B9" w:rsidP="00030E44">
      <w:pPr>
        <w:pStyle w:val="ListParagraph"/>
        <w:numPr>
          <w:ilvl w:val="2"/>
          <w:numId w:val="1"/>
        </w:numPr>
        <w:spacing w:before="240" w:line="240" w:lineRule="auto"/>
        <w:ind w:left="0" w:firstLine="0"/>
      </w:pPr>
      <w:r w:rsidRPr="00F94FA9">
        <w:t>The term human microbiota refers to the population of microorganisms</w:t>
      </w:r>
      <w:r>
        <w:t xml:space="preserve"> </w:t>
      </w:r>
      <w:r w:rsidRPr="00F94FA9">
        <w:t xml:space="preserve">(bacteria, viruses, fungi, </w:t>
      </w:r>
      <w:r>
        <w:t xml:space="preserve">archea, </w:t>
      </w:r>
      <w:r w:rsidRPr="00F94FA9">
        <w:t>protozoa) living in internal compartments and on the surface of human beings. This</w:t>
      </w:r>
      <w:r>
        <w:t xml:space="preserve"> statement</w:t>
      </w:r>
      <w:r w:rsidRPr="00F94FA9">
        <w:t xml:space="preserve"> aims to describe </w:t>
      </w:r>
      <w:r>
        <w:t xml:space="preserve">the current state of knowledge of </w:t>
      </w:r>
      <w:r w:rsidRPr="00F94FA9">
        <w:t>changes in the population and function of the gut microbiota</w:t>
      </w:r>
      <w:r>
        <w:rPr>
          <w:rStyle w:val="FootnoteReference"/>
        </w:rPr>
        <w:footnoteReference w:id="1"/>
      </w:r>
      <w:r w:rsidRPr="00F94FA9">
        <w:t xml:space="preserve"> caused by exposure to components of, and contaminants present in</w:t>
      </w:r>
      <w:r w:rsidR="00D969F7">
        <w:t>,</w:t>
      </w:r>
      <w:r w:rsidRPr="00F94FA9">
        <w:t xml:space="preserve"> the diet and the effects of the gut microbiota in modulating the toxicity of those substances</w:t>
      </w:r>
      <w:r w:rsidR="00D334AB">
        <w:t>.</w:t>
      </w:r>
      <w:r>
        <w:rPr>
          <w:szCs w:val="24"/>
        </w:rPr>
        <w:t xml:space="preserve"> </w:t>
      </w:r>
    </w:p>
    <w:p w:rsidR="00F40887" w:rsidRPr="00F40887" w:rsidRDefault="00F40887" w:rsidP="00F40887">
      <w:pPr>
        <w:pStyle w:val="ListParagraph"/>
        <w:spacing w:before="240" w:line="240" w:lineRule="auto"/>
        <w:ind w:left="0"/>
      </w:pPr>
    </w:p>
    <w:p w:rsidR="00871E97" w:rsidRPr="00030E44" w:rsidRDefault="00030E44" w:rsidP="00030E44">
      <w:pPr>
        <w:pStyle w:val="ListParagraph"/>
        <w:numPr>
          <w:ilvl w:val="2"/>
          <w:numId w:val="1"/>
        </w:numPr>
        <w:spacing w:before="240" w:line="240" w:lineRule="auto"/>
        <w:ind w:left="0" w:firstLine="0"/>
      </w:pPr>
      <w:r w:rsidRPr="00F40887">
        <w:rPr>
          <w:szCs w:val="24"/>
        </w:rPr>
        <w:t xml:space="preserve"> There is a substantial body of literature on the microbiota, therefore this paper has used relatively narrow search terms and thus is a representative rather than comprehensive survey of the microbiota and their interaction with ingested xenobiotics</w:t>
      </w:r>
    </w:p>
    <w:p w:rsidR="00E112D4" w:rsidRDefault="00871E97" w:rsidP="00030E44">
      <w:pPr>
        <w:tabs>
          <w:tab w:val="left" w:pos="0"/>
        </w:tabs>
        <w:spacing w:before="240" w:line="240" w:lineRule="auto"/>
      </w:pPr>
      <w:r w:rsidRPr="00E603B4">
        <w:rPr>
          <w:rStyle w:val="SubtleReference"/>
          <w:rFonts w:cs="Arial"/>
          <w:smallCaps w:val="0"/>
          <w:color w:val="auto"/>
          <w:u w:val="single"/>
        </w:rPr>
        <w:t>Composition and distribution of the microbiota</w:t>
      </w:r>
    </w:p>
    <w:p w:rsidR="004C0742" w:rsidRDefault="00D868E1" w:rsidP="00CF23B1">
      <w:pPr>
        <w:pStyle w:val="ListParagraph"/>
        <w:numPr>
          <w:ilvl w:val="2"/>
          <w:numId w:val="1"/>
        </w:numPr>
        <w:tabs>
          <w:tab w:val="left" w:pos="0"/>
        </w:tabs>
        <w:spacing w:before="240" w:line="240" w:lineRule="auto"/>
        <w:ind w:left="0" w:firstLine="0"/>
      </w:pPr>
      <w:r w:rsidRPr="00F94FA9">
        <w:t>The external</w:t>
      </w:r>
      <w:r w:rsidR="002644AE">
        <w:t>ly accessible</w:t>
      </w:r>
      <w:r w:rsidRPr="00F94FA9">
        <w:t xml:space="preserve"> compartments of the human </w:t>
      </w:r>
      <w:r w:rsidR="00BA17B9" w:rsidRPr="00F94FA9">
        <w:t xml:space="preserve">body </w:t>
      </w:r>
      <w:r w:rsidR="00BA17B9">
        <w:t>are</w:t>
      </w:r>
      <w:r w:rsidR="00144449">
        <w:t xml:space="preserve"> </w:t>
      </w:r>
      <w:r w:rsidR="009531DB" w:rsidRPr="00F94FA9">
        <w:t>inhabited by microorganisms</w:t>
      </w:r>
      <w:r w:rsidR="00B50286" w:rsidRPr="00F94FA9">
        <w:t xml:space="preserve">. By far the greatest number and variety of microorganisms </w:t>
      </w:r>
      <w:r w:rsidR="00D969F7">
        <w:t>are</w:t>
      </w:r>
      <w:r w:rsidR="00B50286" w:rsidRPr="00F94FA9">
        <w:t xml:space="preserve"> present in the </w:t>
      </w:r>
      <w:r w:rsidR="00241794" w:rsidRPr="00F94FA9">
        <w:t>digestive tract</w:t>
      </w:r>
      <w:r w:rsidR="00B50286" w:rsidRPr="00F94FA9">
        <w:t xml:space="preserve">, predominantly in the caecum. </w:t>
      </w:r>
      <w:r w:rsidR="00241794" w:rsidRPr="00F94FA9">
        <w:t>Th</w:t>
      </w:r>
      <w:r w:rsidR="00B50286" w:rsidRPr="00F94FA9">
        <w:t xml:space="preserve">e </w:t>
      </w:r>
      <w:r w:rsidR="006C607E">
        <w:t>most studied</w:t>
      </w:r>
      <w:r w:rsidR="00241794" w:rsidRPr="00F94FA9">
        <w:t xml:space="preserve"> of these are bacteria</w:t>
      </w:r>
      <w:r w:rsidR="00E112D4" w:rsidRPr="00F94FA9">
        <w:t xml:space="preserve"> that</w:t>
      </w:r>
      <w:r w:rsidR="00241794" w:rsidRPr="00F94FA9">
        <w:t xml:space="preserve"> fall</w:t>
      </w:r>
      <w:r w:rsidR="00B50286" w:rsidRPr="00F94FA9">
        <w:t xml:space="preserve"> into the phyla of </w:t>
      </w:r>
      <w:r w:rsidR="00E112D4" w:rsidRPr="00F94FA9">
        <w:t xml:space="preserve">the Gram-negative </w:t>
      </w:r>
      <w:r w:rsidR="00B431B2" w:rsidRPr="00CF23B1">
        <w:rPr>
          <w:i/>
        </w:rPr>
        <w:t>Bacteroidetes</w:t>
      </w:r>
      <w:r w:rsidR="00B50286" w:rsidRPr="00F94FA9">
        <w:t xml:space="preserve"> and</w:t>
      </w:r>
      <w:r w:rsidR="00E112D4" w:rsidRPr="00F94FA9">
        <w:t xml:space="preserve"> the Gram-positive</w:t>
      </w:r>
      <w:r w:rsidR="00B50286" w:rsidRPr="00F94FA9">
        <w:t xml:space="preserve"> </w:t>
      </w:r>
      <w:r w:rsidR="00B50286" w:rsidRPr="00CF23B1">
        <w:rPr>
          <w:i/>
        </w:rPr>
        <w:t>Firmicutes</w:t>
      </w:r>
      <w:r w:rsidR="00D901C5" w:rsidRPr="00CF23B1">
        <w:rPr>
          <w:i/>
        </w:rPr>
        <w:t xml:space="preserve">. </w:t>
      </w:r>
      <w:r w:rsidR="00D901C5" w:rsidRPr="00F94FA9">
        <w:t>Other</w:t>
      </w:r>
      <w:r w:rsidR="00FA71F5" w:rsidRPr="00F94FA9">
        <w:t xml:space="preserve"> </w:t>
      </w:r>
      <w:r w:rsidR="00D901C5" w:rsidRPr="00F94FA9">
        <w:t xml:space="preserve">relatively abundant phyla are the </w:t>
      </w:r>
      <w:r w:rsidR="00D901C5" w:rsidRPr="00CF23B1">
        <w:rPr>
          <w:i/>
        </w:rPr>
        <w:t>Actino</w:t>
      </w:r>
      <w:r w:rsidR="00FA71F5" w:rsidRPr="00CF23B1">
        <w:rPr>
          <w:i/>
        </w:rPr>
        <w:t>bacteria</w:t>
      </w:r>
      <w:r w:rsidR="00D901C5" w:rsidRPr="00F94FA9">
        <w:t xml:space="preserve">, the </w:t>
      </w:r>
      <w:r w:rsidR="00D901C5" w:rsidRPr="00CF23B1">
        <w:rPr>
          <w:i/>
        </w:rPr>
        <w:t>Proteobacteria</w:t>
      </w:r>
      <w:r w:rsidR="00D901C5" w:rsidRPr="00F94FA9">
        <w:t xml:space="preserve"> and the </w:t>
      </w:r>
      <w:r w:rsidR="00D901C5" w:rsidRPr="00CF23B1">
        <w:rPr>
          <w:i/>
        </w:rPr>
        <w:t>Verruco</w:t>
      </w:r>
      <w:r w:rsidR="00FA71F5" w:rsidRPr="00CF23B1">
        <w:rPr>
          <w:i/>
        </w:rPr>
        <w:t>microbia</w:t>
      </w:r>
      <w:r w:rsidR="00241794" w:rsidRPr="00CF23B1">
        <w:rPr>
          <w:i/>
        </w:rPr>
        <w:t xml:space="preserve"> </w:t>
      </w:r>
      <w:r w:rsidR="00241794" w:rsidRPr="00F94FA9">
        <w:t>but t</w:t>
      </w:r>
      <w:r w:rsidRPr="00F94FA9">
        <w:t>he</w:t>
      </w:r>
      <w:r w:rsidR="00241794" w:rsidRPr="00F94FA9">
        <w:t xml:space="preserve"> full</w:t>
      </w:r>
      <w:r w:rsidRPr="00F94FA9">
        <w:t xml:space="preserve"> range of species varies from site to site</w:t>
      </w:r>
      <w:r w:rsidR="002644AE">
        <w:t>,</w:t>
      </w:r>
      <w:r w:rsidRPr="00F94FA9">
        <w:t xml:space="preserve"> </w:t>
      </w:r>
      <w:r w:rsidR="00A9564F">
        <w:t xml:space="preserve">from </w:t>
      </w:r>
      <w:r w:rsidRPr="00F94FA9">
        <w:t xml:space="preserve">individual to individual and </w:t>
      </w:r>
      <w:r w:rsidR="004A0BD5">
        <w:t xml:space="preserve"> with</w:t>
      </w:r>
      <w:r w:rsidR="00850786" w:rsidRPr="00F94FA9">
        <w:t xml:space="preserve"> diet </w:t>
      </w:r>
      <w:r w:rsidR="00C978EC" w:rsidRPr="00F94FA9">
        <w:t xml:space="preserve">(David </w:t>
      </w:r>
      <w:r w:rsidR="00C978EC" w:rsidRPr="00CF23B1">
        <w:rPr>
          <w:i/>
        </w:rPr>
        <w:t xml:space="preserve">et </w:t>
      </w:r>
      <w:r w:rsidR="00C978EC" w:rsidRPr="00F94FA9">
        <w:t>al, 2014)</w:t>
      </w:r>
      <w:r w:rsidR="004A0BD5">
        <w:t xml:space="preserve"> health, </w:t>
      </w:r>
      <w:r w:rsidR="00AA78A8">
        <w:t>sex</w:t>
      </w:r>
      <w:r w:rsidR="004A0BD5">
        <w:t>, ethnicity, age</w:t>
      </w:r>
      <w:r w:rsidR="00C978EC" w:rsidRPr="00F94FA9">
        <w:t xml:space="preserve"> </w:t>
      </w:r>
      <w:r w:rsidR="00850786" w:rsidRPr="00F94FA9">
        <w:t>and</w:t>
      </w:r>
      <w:r w:rsidRPr="00F94FA9">
        <w:t xml:space="preserve"> </w:t>
      </w:r>
      <w:r w:rsidR="004A0BD5">
        <w:t>geographical location</w:t>
      </w:r>
      <w:r w:rsidR="00C978EC" w:rsidRPr="00F94FA9">
        <w:t>.</w:t>
      </w:r>
      <w:r w:rsidR="00D76ADA">
        <w:t xml:space="preserve"> This </w:t>
      </w:r>
      <w:r w:rsidR="00A9564F">
        <w:t xml:space="preserve">statement </w:t>
      </w:r>
      <w:r w:rsidR="00D76ADA">
        <w:t>concentrates on the bacteria</w:t>
      </w:r>
      <w:r w:rsidR="002644AE">
        <w:t>l population of the m</w:t>
      </w:r>
      <w:r w:rsidR="00BB1A33">
        <w:t>i</w:t>
      </w:r>
      <w:r w:rsidR="002644AE">
        <w:t>crobiome</w:t>
      </w:r>
      <w:r w:rsidR="00D76ADA">
        <w:t xml:space="preserve"> since the majority of the scientific literature relates to them.</w:t>
      </w:r>
      <w:r w:rsidR="002041FA">
        <w:t xml:space="preserve"> The terms microbiome (defined more precisely below) and flora are also used as synonyms for the microbiota in the literature</w:t>
      </w:r>
      <w:r w:rsidR="00B23422" w:rsidRPr="00B23422">
        <w:t xml:space="preserve"> </w:t>
      </w:r>
      <w:r w:rsidR="00B23422">
        <w:t>as well as</w:t>
      </w:r>
      <w:r w:rsidR="00B23422" w:rsidRPr="00B23422">
        <w:t xml:space="preserve"> </w:t>
      </w:r>
      <w:r w:rsidR="00B23422">
        <w:t>in this Statement</w:t>
      </w:r>
      <w:r w:rsidR="002041FA">
        <w:t>.</w:t>
      </w:r>
    </w:p>
    <w:p w:rsidR="00871E97" w:rsidRDefault="00871E97" w:rsidP="00F40887">
      <w:pPr>
        <w:pStyle w:val="ListParagraph"/>
      </w:pPr>
    </w:p>
    <w:p w:rsidR="004C0742" w:rsidRDefault="00EE709A" w:rsidP="00F40887">
      <w:pPr>
        <w:pStyle w:val="ListParagraph"/>
        <w:numPr>
          <w:ilvl w:val="2"/>
          <w:numId w:val="1"/>
        </w:numPr>
        <w:tabs>
          <w:tab w:val="left" w:pos="0"/>
        </w:tabs>
        <w:spacing w:before="240" w:line="240" w:lineRule="auto"/>
        <w:ind w:left="0" w:firstLine="0"/>
      </w:pPr>
      <w:r w:rsidRPr="00F94FA9">
        <w:t xml:space="preserve">Although estimates vary, </w:t>
      </w:r>
      <w:r w:rsidR="009531DB" w:rsidRPr="00F94FA9">
        <w:t>the number</w:t>
      </w:r>
      <w:r w:rsidR="005246AE" w:rsidRPr="00F94FA9">
        <w:t xml:space="preserve"> of organisms</w:t>
      </w:r>
      <w:r w:rsidR="009531DB" w:rsidRPr="00F94FA9">
        <w:t xml:space="preserve"> in the gut </w:t>
      </w:r>
      <w:r w:rsidR="004D2267" w:rsidRPr="00F94FA9">
        <w:t xml:space="preserve">appears to </w:t>
      </w:r>
      <w:r w:rsidR="009531DB" w:rsidRPr="00F94FA9">
        <w:t>exceed</w:t>
      </w:r>
      <w:r w:rsidR="00141F66" w:rsidRPr="00F94FA9">
        <w:t xml:space="preserve"> </w:t>
      </w:r>
      <w:r w:rsidR="009531DB" w:rsidRPr="00F94FA9">
        <w:t xml:space="preserve">that </w:t>
      </w:r>
      <w:r w:rsidR="009815E6" w:rsidRPr="00F94FA9">
        <w:t xml:space="preserve">of </w:t>
      </w:r>
      <w:r w:rsidR="009531DB" w:rsidRPr="00F94FA9">
        <w:t xml:space="preserve">human </w:t>
      </w:r>
      <w:r w:rsidR="009815E6" w:rsidRPr="00F94FA9">
        <w:t>cells in the whole body.</w:t>
      </w:r>
      <w:r w:rsidR="00955B0E" w:rsidRPr="00F94FA9">
        <w:t xml:space="preserve"> </w:t>
      </w:r>
      <w:r w:rsidR="004C0742" w:rsidRPr="00F94FA9">
        <w:t>Estimates of microbe</w:t>
      </w:r>
      <w:r w:rsidR="00CD7A4E" w:rsidRPr="00F94FA9">
        <w:t>/</w:t>
      </w:r>
      <w:r w:rsidR="004C0742" w:rsidRPr="00F94FA9">
        <w:t xml:space="preserve">human cell ratios have decreased in recent years </w:t>
      </w:r>
      <w:r w:rsidR="00CD7A4E" w:rsidRPr="00F94FA9">
        <w:t xml:space="preserve">from 10:1 to about 1.3:1 but this depends upon the definition of a cell, for example, whether erythrocytes and platelets can be considered as true cells (Sender </w:t>
      </w:r>
      <w:r w:rsidR="00CD7A4E" w:rsidRPr="00871E97">
        <w:rPr>
          <w:i/>
        </w:rPr>
        <w:t>et al</w:t>
      </w:r>
      <w:r w:rsidR="00BD7DF9" w:rsidRPr="00F94FA9">
        <w:t xml:space="preserve">, </w:t>
      </w:r>
      <w:r w:rsidR="00CD7A4E" w:rsidRPr="00F94FA9">
        <w:t>2016)</w:t>
      </w:r>
      <w:r w:rsidR="00BD7DF9" w:rsidRPr="00F94FA9">
        <w:t>.</w:t>
      </w:r>
      <w:r w:rsidR="00097EE0" w:rsidRPr="00F94FA9">
        <w:t xml:space="preserve">  </w:t>
      </w:r>
      <w:r w:rsidR="00CC2637" w:rsidRPr="00F94FA9">
        <w:t>The</w:t>
      </w:r>
      <w:r w:rsidR="00FB324C" w:rsidRPr="00F94FA9">
        <w:t xml:space="preserve"> commonly cited </w:t>
      </w:r>
      <w:r w:rsidR="00CC2637" w:rsidRPr="00F94FA9">
        <w:t xml:space="preserve">figures </w:t>
      </w:r>
      <w:r w:rsidR="00B748A6">
        <w:t xml:space="preserve">for the number of species represented </w:t>
      </w:r>
      <w:r w:rsidR="00CC2637" w:rsidRPr="00F94FA9">
        <w:t xml:space="preserve">are </w:t>
      </w:r>
      <w:r w:rsidR="00097EE0" w:rsidRPr="00F94FA9">
        <w:t xml:space="preserve">5,000 to 10,000, </w:t>
      </w:r>
      <w:r w:rsidR="00B748A6">
        <w:t>and sometimes</w:t>
      </w:r>
      <w:r w:rsidR="00B748A6" w:rsidRPr="00F94FA9">
        <w:t xml:space="preserve"> </w:t>
      </w:r>
      <w:r w:rsidR="00097EE0" w:rsidRPr="00F94FA9">
        <w:t>many more</w:t>
      </w:r>
      <w:r w:rsidR="00D969F7">
        <w:t>,</w:t>
      </w:r>
      <w:r w:rsidR="00097EE0" w:rsidRPr="00F94FA9">
        <w:t xml:space="preserve"> </w:t>
      </w:r>
      <w:r w:rsidR="008E01D7" w:rsidRPr="00F94FA9">
        <w:t>, although an individual may harbour m</w:t>
      </w:r>
      <w:r w:rsidR="002F55D6" w:rsidRPr="00F94FA9">
        <w:t>any</w:t>
      </w:r>
      <w:r w:rsidR="008E01D7" w:rsidRPr="00F94FA9">
        <w:t xml:space="preserve"> fewer species than this. The gene set of the gut microbiota – the </w:t>
      </w:r>
      <w:r w:rsidR="002041FA">
        <w:t xml:space="preserve">precise definition of the term (gut) </w:t>
      </w:r>
      <w:r w:rsidR="008E01D7" w:rsidRPr="00F94FA9">
        <w:t>microbiome – is estimated at about 3 million genes, or about 150 times that of the human genome</w:t>
      </w:r>
      <w:r w:rsidR="00CC2637" w:rsidRPr="00F94FA9">
        <w:t xml:space="preserve">. All of the above values are </w:t>
      </w:r>
      <w:r w:rsidR="00B748A6">
        <w:t xml:space="preserve">central </w:t>
      </w:r>
      <w:r w:rsidR="00CC2637" w:rsidRPr="00F94FA9">
        <w:t>estimates and numbers will vary between individuals</w:t>
      </w:r>
      <w:r w:rsidR="006B0DCA">
        <w:t xml:space="preserve">. </w:t>
      </w:r>
    </w:p>
    <w:p w:rsidR="00871E97" w:rsidRDefault="00871E97" w:rsidP="00F40887">
      <w:pPr>
        <w:pStyle w:val="ListParagraph"/>
      </w:pPr>
    </w:p>
    <w:p w:rsidR="00797916" w:rsidRDefault="00214E26" w:rsidP="00F40887">
      <w:pPr>
        <w:pStyle w:val="ListParagraph"/>
        <w:numPr>
          <w:ilvl w:val="2"/>
          <w:numId w:val="1"/>
        </w:numPr>
        <w:tabs>
          <w:tab w:val="left" w:pos="0"/>
        </w:tabs>
        <w:spacing w:before="240" w:line="240" w:lineRule="auto"/>
        <w:ind w:left="0" w:firstLine="0"/>
      </w:pPr>
      <w:r w:rsidRPr="00F94FA9">
        <w:t>Identification of the composition of the microbiota was originally problematic because many of the bacteria are obligate anaerobes</w:t>
      </w:r>
      <w:r w:rsidR="00722D9F" w:rsidRPr="00F94FA9">
        <w:t xml:space="preserve"> </w:t>
      </w:r>
      <w:r w:rsidR="00651704" w:rsidRPr="00F94FA9">
        <w:t xml:space="preserve">and/ </w:t>
      </w:r>
      <w:r w:rsidR="00722D9F" w:rsidRPr="00F94FA9">
        <w:t>or have precise pH, temperature or nutrient requirements</w:t>
      </w:r>
      <w:r w:rsidRPr="00F94FA9">
        <w:t xml:space="preserve"> and could not easily be cultured. </w:t>
      </w:r>
      <w:r w:rsidR="00850127" w:rsidRPr="00F94FA9">
        <w:t xml:space="preserve">Since the </w:t>
      </w:r>
      <w:r w:rsidR="00D969F7">
        <w:t>m</w:t>
      </w:r>
      <w:r w:rsidR="00850127" w:rsidRPr="00F94FA9">
        <w:t>id-1980s, techniques for identifying bacterial communities from phyl</w:t>
      </w:r>
      <w:r w:rsidR="00574F14" w:rsidRPr="00F94FA9">
        <w:t>um</w:t>
      </w:r>
      <w:r w:rsidR="00850127" w:rsidRPr="00F94FA9">
        <w:t xml:space="preserve"> to species level have improved </w:t>
      </w:r>
      <w:r w:rsidR="00DF454C" w:rsidRPr="00F94FA9">
        <w:t xml:space="preserve">dramatically </w:t>
      </w:r>
      <w:r w:rsidR="00850127" w:rsidRPr="00F94FA9">
        <w:t>in speed and efficiency. Sequencing the ribosomal 16</w:t>
      </w:r>
      <w:r w:rsidR="0086293C">
        <w:t>S</w:t>
      </w:r>
      <w:r w:rsidR="00850127" w:rsidRPr="00F94FA9">
        <w:t xml:space="preserve"> RNA gene has picked out stable and variable regions that can be used as a “fingerprint” to identify unculturable bacteria</w:t>
      </w:r>
      <w:r w:rsidR="00562370" w:rsidRPr="00F94FA9">
        <w:t>. The second genomics technique</w:t>
      </w:r>
      <w:r w:rsidR="006202FF" w:rsidRPr="00F94FA9">
        <w:t xml:space="preserve"> in use is Whole Metagenome Shotgun</w:t>
      </w:r>
      <w:r w:rsidR="00722D9F" w:rsidRPr="00F94FA9">
        <w:t xml:space="preserve"> (WMS) sequencing</w:t>
      </w:r>
      <w:r w:rsidR="00574F14" w:rsidRPr="00F94FA9">
        <w:t>.</w:t>
      </w:r>
      <w:r w:rsidR="00562370" w:rsidRPr="00F94FA9">
        <w:t xml:space="preserve"> </w:t>
      </w:r>
      <w:r w:rsidR="00574F14" w:rsidRPr="00F94FA9">
        <w:t>T</w:t>
      </w:r>
      <w:r w:rsidR="00850127" w:rsidRPr="00F94FA9">
        <w:t>h</w:t>
      </w:r>
      <w:r w:rsidR="00722D9F" w:rsidRPr="00F94FA9">
        <w:t>ese</w:t>
      </w:r>
      <w:r w:rsidR="00850127" w:rsidRPr="00F94FA9">
        <w:t xml:space="preserve"> method</w:t>
      </w:r>
      <w:r w:rsidR="00722D9F" w:rsidRPr="00F94FA9">
        <w:t>s</w:t>
      </w:r>
      <w:r w:rsidR="00850127" w:rsidRPr="00F94FA9">
        <w:t xml:space="preserve"> cannot discern active from dead or quiescent organisms.</w:t>
      </w:r>
      <w:r w:rsidR="009A13F4" w:rsidRPr="00F94FA9">
        <w:t xml:space="preserve"> High throughput “next generation” sequencing developed in the early 2000s has reduced sequencing time from months or years to hours or days. Large multinational research projects such as the European Metagenomics of the Human Intestinal Tract (MetaHIT) and the American Human Microbiome Project (HMP) have produced </w:t>
      </w:r>
      <w:r w:rsidR="00985AE8">
        <w:t xml:space="preserve">extensive </w:t>
      </w:r>
      <w:r w:rsidR="00A3597B" w:rsidRPr="00F94FA9">
        <w:t>data on the microbiome in relation to health and disease</w:t>
      </w:r>
      <w:r w:rsidR="00562370" w:rsidRPr="00F94FA9">
        <w:t xml:space="preserve">. Transcriptomics, proteomics and metabolomics have </w:t>
      </w:r>
      <w:r w:rsidR="00985AE8">
        <w:t xml:space="preserve">all </w:t>
      </w:r>
      <w:r w:rsidR="00562370" w:rsidRPr="00F94FA9">
        <w:t xml:space="preserve">been used to identify the </w:t>
      </w:r>
      <w:r w:rsidR="006202FF" w:rsidRPr="00F94FA9">
        <w:t xml:space="preserve">gene expression and </w:t>
      </w:r>
      <w:r w:rsidR="00562370" w:rsidRPr="00F94FA9">
        <w:t>functions performed by the microbiota.</w:t>
      </w:r>
      <w:r w:rsidR="005F4AE4" w:rsidRPr="00F94FA9">
        <w:t xml:space="preserve"> </w:t>
      </w:r>
      <w:r w:rsidR="007F5152" w:rsidRPr="00F94FA9">
        <w:t>(</w:t>
      </w:r>
      <w:r w:rsidR="005F4AE4" w:rsidRPr="00F94FA9">
        <w:t xml:space="preserve">Review by </w:t>
      </w:r>
      <w:r w:rsidR="007F5152" w:rsidRPr="00F94FA9">
        <w:t xml:space="preserve">Hiergeist </w:t>
      </w:r>
      <w:r w:rsidR="007F5152" w:rsidRPr="00871E97">
        <w:rPr>
          <w:i/>
        </w:rPr>
        <w:t>et al</w:t>
      </w:r>
      <w:r w:rsidR="007F5152" w:rsidRPr="00F94FA9">
        <w:t xml:space="preserve"> (2015)</w:t>
      </w:r>
      <w:r w:rsidR="00A6645B">
        <w:t>.</w:t>
      </w:r>
    </w:p>
    <w:p w:rsidR="00AE41E9" w:rsidRDefault="00AE41E9" w:rsidP="00F40887">
      <w:pPr>
        <w:pStyle w:val="ListParagraph"/>
        <w:tabs>
          <w:tab w:val="left" w:pos="0"/>
        </w:tabs>
        <w:spacing w:before="240" w:line="240" w:lineRule="auto"/>
        <w:ind w:left="0"/>
      </w:pPr>
    </w:p>
    <w:p w:rsidR="00BD276D" w:rsidRDefault="00BA17B9" w:rsidP="00F40887">
      <w:pPr>
        <w:pStyle w:val="ListParagraph"/>
        <w:numPr>
          <w:ilvl w:val="2"/>
          <w:numId w:val="1"/>
        </w:numPr>
        <w:tabs>
          <w:tab w:val="left" w:pos="0"/>
        </w:tabs>
        <w:spacing w:before="240" w:line="240" w:lineRule="auto"/>
        <w:ind w:left="0" w:firstLine="0"/>
      </w:pPr>
      <w:r>
        <w:t xml:space="preserve">Raymond </w:t>
      </w:r>
      <w:r w:rsidRPr="00AE41E9">
        <w:rPr>
          <w:i/>
          <w:iCs/>
        </w:rPr>
        <w:t>et</w:t>
      </w:r>
      <w:r w:rsidR="00BD276D" w:rsidRPr="00AE41E9">
        <w:rPr>
          <w:i/>
          <w:iCs/>
        </w:rPr>
        <w:t xml:space="preserve"> al </w:t>
      </w:r>
      <w:r w:rsidR="00BD276D">
        <w:t>(2019) compared different culturing techniques with culture independent methods for characterising the human gut microbiota with regard to bacteria carrying antimicrobial resistance (AMR) genes</w:t>
      </w:r>
      <w:r w:rsidR="0085396F">
        <w:t>.</w:t>
      </w:r>
      <w:r w:rsidR="00BD276D">
        <w:t xml:space="preserve"> </w:t>
      </w:r>
      <w:r w:rsidR="00482D9D">
        <w:t>T</w:t>
      </w:r>
      <w:r w:rsidR="00482D9D" w:rsidRPr="00797916">
        <w:t xml:space="preserve">hey </w:t>
      </w:r>
      <w:r w:rsidR="00BD276D" w:rsidRPr="00797916">
        <w:t>were able to discern the difference between bacterial species carrying AMR genes in their main ba</w:t>
      </w:r>
      <w:r w:rsidR="00BB148D" w:rsidRPr="00797916">
        <w:t>n</w:t>
      </w:r>
      <w:r w:rsidR="00BD276D" w:rsidRPr="00797916">
        <w:t xml:space="preserve">d DNA </w:t>
      </w:r>
      <w:r w:rsidR="00BB148D" w:rsidRPr="00797916">
        <w:t>from those that carried them in</w:t>
      </w:r>
      <w:r w:rsidR="00BD276D" w:rsidRPr="00797916">
        <w:t xml:space="preserve"> transposable elements and</w:t>
      </w:r>
      <w:r w:rsidR="00870D65">
        <w:t>,</w:t>
      </w:r>
      <w:r w:rsidR="00BD276D" w:rsidRPr="00797916">
        <w:t xml:space="preserve"> those </w:t>
      </w:r>
      <w:r w:rsidR="00D969F7">
        <w:t xml:space="preserve">AMR genes </w:t>
      </w:r>
      <w:r w:rsidR="00BD276D" w:rsidRPr="00797916">
        <w:t xml:space="preserve">that </w:t>
      </w:r>
      <w:r w:rsidR="005100CB">
        <w:t xml:space="preserve">were </w:t>
      </w:r>
      <w:r w:rsidR="00BD276D" w:rsidRPr="00797916">
        <w:t xml:space="preserve">related to </w:t>
      </w:r>
      <w:r w:rsidR="0009759D" w:rsidRPr="00797916">
        <w:t>essential</w:t>
      </w:r>
      <w:r w:rsidR="00BD276D" w:rsidRPr="00797916">
        <w:t xml:space="preserve"> functions of the bacteria and those that </w:t>
      </w:r>
      <w:r w:rsidR="005100CB">
        <w:t>were</w:t>
      </w:r>
      <w:r w:rsidR="005100CB" w:rsidRPr="00797916">
        <w:t xml:space="preserve"> </w:t>
      </w:r>
      <w:r w:rsidR="00BD276D" w:rsidRPr="00797916">
        <w:t xml:space="preserve">not. </w:t>
      </w:r>
    </w:p>
    <w:p w:rsidR="00AE41E9" w:rsidRDefault="00AE41E9" w:rsidP="00F40887">
      <w:pPr>
        <w:pStyle w:val="ListParagraph"/>
      </w:pPr>
    </w:p>
    <w:p w:rsidR="00FD6EF0" w:rsidRDefault="00A6645B" w:rsidP="00F40887">
      <w:pPr>
        <w:pStyle w:val="ListParagraph"/>
        <w:numPr>
          <w:ilvl w:val="2"/>
          <w:numId w:val="1"/>
        </w:numPr>
        <w:tabs>
          <w:tab w:val="left" w:pos="0"/>
        </w:tabs>
        <w:spacing w:before="240" w:line="240" w:lineRule="auto"/>
        <w:ind w:left="0" w:firstLine="0"/>
      </w:pPr>
      <w:r w:rsidRPr="00F94FA9">
        <w:t xml:space="preserve">The composition of the gut microbiota of new-borns appears to be influenced </w:t>
      </w:r>
      <w:r w:rsidR="00071CC8">
        <w:t xml:space="preserve">to some extent </w:t>
      </w:r>
      <w:r w:rsidRPr="00F94FA9">
        <w:t>by the method of birth. Babies born by vaginal delivery acquire gut bacterial populations similar to those in their mother’s gut and vagina while babies born via Caesarean section (C-section) acquire predominantly skin surface bacteria</w:t>
      </w:r>
      <w:r w:rsidR="00B71843">
        <w:t xml:space="preserve">, </w:t>
      </w:r>
      <w:r w:rsidR="00126A07" w:rsidRPr="00F94FA9">
        <w:t>(Mila</w:t>
      </w:r>
      <w:r w:rsidR="00126A07">
        <w:t>n</w:t>
      </w:r>
      <w:r w:rsidR="00126A07" w:rsidRPr="00F94FA9">
        <w:t xml:space="preserve">i </w:t>
      </w:r>
      <w:r w:rsidR="00126A07" w:rsidRPr="00AE41E9">
        <w:rPr>
          <w:i/>
        </w:rPr>
        <w:t>et al</w:t>
      </w:r>
      <w:r w:rsidR="00126A07" w:rsidRPr="00F94FA9">
        <w:t>, 2017</w:t>
      </w:r>
      <w:r w:rsidR="00126A07">
        <w:t>)</w:t>
      </w:r>
      <w:r w:rsidR="00FD6EF0">
        <w:t xml:space="preserve">. </w:t>
      </w:r>
      <w:r w:rsidR="00FD6EF0" w:rsidRPr="00FD6EF0">
        <w:rPr>
          <w:szCs w:val="24"/>
        </w:rPr>
        <w:t>Yatsunenko</w:t>
      </w:r>
      <w:r w:rsidR="00FD6EF0">
        <w:rPr>
          <w:szCs w:val="24"/>
        </w:rPr>
        <w:t xml:space="preserve"> </w:t>
      </w:r>
      <w:r w:rsidR="00FD6EF0">
        <w:rPr>
          <w:i/>
          <w:iCs/>
          <w:szCs w:val="24"/>
        </w:rPr>
        <w:t xml:space="preserve">et al </w:t>
      </w:r>
      <w:r w:rsidR="00FD6EF0">
        <w:rPr>
          <w:szCs w:val="24"/>
        </w:rPr>
        <w:t>(2012) found that</w:t>
      </w:r>
      <w:r w:rsidR="00126A07">
        <w:t xml:space="preserve"> </w:t>
      </w:r>
      <w:r w:rsidR="00126A07" w:rsidRPr="00126A07">
        <w:t>the phylogenetic composition of the bacterial community evolved towards an adult-like configuration within the 3-year period following birth</w:t>
      </w:r>
      <w:r w:rsidR="00FD6EF0">
        <w:t>,</w:t>
      </w:r>
      <w:r w:rsidR="00126A07" w:rsidRPr="00126A07">
        <w:t xml:space="preserve"> </w:t>
      </w:r>
      <w:r w:rsidR="00126A07">
        <w:t>although</w:t>
      </w:r>
      <w:r w:rsidR="00126A07" w:rsidRPr="00126A07">
        <w:t xml:space="preserve"> </w:t>
      </w:r>
      <w:r w:rsidR="00FD6EF0">
        <w:t xml:space="preserve">a later study by </w:t>
      </w:r>
      <w:r w:rsidR="00126A07">
        <w:t xml:space="preserve">Holister </w:t>
      </w:r>
      <w:r w:rsidR="00126A07">
        <w:rPr>
          <w:i/>
          <w:iCs/>
        </w:rPr>
        <w:t xml:space="preserve">et al </w:t>
      </w:r>
      <w:r w:rsidR="00126A07">
        <w:t>(2015) found that pre-adolescent c</w:t>
      </w:r>
      <w:r w:rsidR="00126A07" w:rsidRPr="00E064A4">
        <w:t>hildren</w:t>
      </w:r>
      <w:r w:rsidR="00126A07" w:rsidRPr="00F94FA9">
        <w:t xml:space="preserve"> have a more diverse gut population than adults, </w:t>
      </w:r>
      <w:r w:rsidR="00FD6EF0">
        <w:t>and suggested that development to the adult state was a more gradual process</w:t>
      </w:r>
      <w:r w:rsidRPr="00F94FA9">
        <w:t xml:space="preserve">). </w:t>
      </w:r>
    </w:p>
    <w:p w:rsidR="00FD6EF0" w:rsidRDefault="00FD6EF0" w:rsidP="00AF6349">
      <w:pPr>
        <w:pStyle w:val="ListParagraph"/>
      </w:pPr>
    </w:p>
    <w:p w:rsidR="00D969F7" w:rsidRDefault="00A6645B" w:rsidP="00F40887">
      <w:pPr>
        <w:pStyle w:val="ListParagraph"/>
        <w:numPr>
          <w:ilvl w:val="2"/>
          <w:numId w:val="1"/>
        </w:numPr>
        <w:tabs>
          <w:tab w:val="left" w:pos="0"/>
        </w:tabs>
        <w:spacing w:before="240" w:line="240" w:lineRule="auto"/>
        <w:ind w:left="0" w:firstLine="0"/>
      </w:pPr>
      <w:r w:rsidRPr="00F94FA9">
        <w:t xml:space="preserve">The first stool of C-section neonates has been found to have fewer microbial genes associated with amino and nucleotide sugar metabolism and more related to fatty acid metabolism, amino acid degradation and xenobiotic metabolism, with reduced bacterial diversity compared with those born vaginally (Mueller </w:t>
      </w:r>
      <w:r w:rsidRPr="00AE41E9">
        <w:rPr>
          <w:i/>
        </w:rPr>
        <w:t>et al</w:t>
      </w:r>
      <w:r w:rsidRPr="00F94FA9">
        <w:t xml:space="preserve">, 2017). </w:t>
      </w:r>
      <w:r w:rsidR="00ED1816">
        <w:t xml:space="preserve">However, as reviewed by Rodriguez </w:t>
      </w:r>
      <w:r w:rsidR="00ED1816" w:rsidRPr="00AE41E9">
        <w:rPr>
          <w:i/>
          <w:iCs/>
        </w:rPr>
        <w:t xml:space="preserve">et al </w:t>
      </w:r>
      <w:r w:rsidR="00ED1816">
        <w:t xml:space="preserve">(2015), </w:t>
      </w:r>
      <w:r w:rsidR="005F0B35">
        <w:t xml:space="preserve">some of </w:t>
      </w:r>
      <w:r w:rsidR="00ED1816">
        <w:t xml:space="preserve">the microbiota in the new-born gut appear to be </w:t>
      </w:r>
      <w:r w:rsidR="00E064A4">
        <w:t xml:space="preserve">present at birth, </w:t>
      </w:r>
      <w:r w:rsidR="00BC7FA3">
        <w:t>and</w:t>
      </w:r>
      <w:r w:rsidR="00E064A4">
        <w:t xml:space="preserve"> the meconium harbours a population dominated by </w:t>
      </w:r>
      <w:r w:rsidR="00E064A4" w:rsidRPr="00AE41E9">
        <w:rPr>
          <w:i/>
          <w:iCs/>
        </w:rPr>
        <w:t>Staphylococci</w:t>
      </w:r>
      <w:r w:rsidR="00E064A4">
        <w:t xml:space="preserve"> and </w:t>
      </w:r>
      <w:r w:rsidR="00E064A4" w:rsidRPr="00AE41E9">
        <w:rPr>
          <w:i/>
          <w:iCs/>
        </w:rPr>
        <w:t>Lactobacilli</w:t>
      </w:r>
      <w:r w:rsidR="00E064A4">
        <w:t>, as distinct from the first true faeces, which is</w:t>
      </w:r>
      <w:r w:rsidR="00071CC8">
        <w:t xml:space="preserve"> richer in </w:t>
      </w:r>
      <w:r w:rsidR="00071CC8" w:rsidRPr="00AE41E9">
        <w:rPr>
          <w:i/>
          <w:iCs/>
        </w:rPr>
        <w:t xml:space="preserve">E. coli, Enterococcus </w:t>
      </w:r>
      <w:r w:rsidR="00071CC8">
        <w:t xml:space="preserve">and </w:t>
      </w:r>
      <w:r w:rsidR="00071CC8" w:rsidRPr="00AE41E9">
        <w:rPr>
          <w:i/>
          <w:iCs/>
        </w:rPr>
        <w:t>Klebsiella pneumoniae.</w:t>
      </w:r>
      <w:r w:rsidR="00071CC8">
        <w:t xml:space="preserve"> It has been postulated that bacteria from the maternal gut access the amniotic fluid via the blood and thence colonise the fetal digestive tract.</w:t>
      </w:r>
      <w:r w:rsidR="00E064A4">
        <w:t xml:space="preserve"> </w:t>
      </w:r>
    </w:p>
    <w:p w:rsidR="00D969F7" w:rsidRDefault="00D969F7" w:rsidP="005100CB">
      <w:pPr>
        <w:pStyle w:val="ListParagraph"/>
        <w:tabs>
          <w:tab w:val="left" w:pos="0"/>
        </w:tabs>
        <w:spacing w:before="240" w:line="240" w:lineRule="auto"/>
        <w:ind w:left="0"/>
      </w:pPr>
    </w:p>
    <w:p w:rsidR="00C9586F" w:rsidRDefault="00C9586F" w:rsidP="009424D2">
      <w:pPr>
        <w:pStyle w:val="ListParagraph"/>
        <w:tabs>
          <w:tab w:val="left" w:pos="0"/>
        </w:tabs>
        <w:spacing w:before="240" w:line="240" w:lineRule="auto"/>
        <w:ind w:left="0"/>
      </w:pPr>
    </w:p>
    <w:p w:rsidR="00AE41E9" w:rsidRDefault="00AE41E9" w:rsidP="00F40887">
      <w:pPr>
        <w:pStyle w:val="ListParagraph"/>
        <w:tabs>
          <w:tab w:val="left" w:pos="0"/>
        </w:tabs>
        <w:spacing w:before="240" w:line="240" w:lineRule="auto"/>
        <w:ind w:left="0"/>
      </w:pPr>
    </w:p>
    <w:p w:rsidR="00356C81" w:rsidRDefault="00955B0E" w:rsidP="00F40887">
      <w:pPr>
        <w:pStyle w:val="ListParagraph"/>
        <w:numPr>
          <w:ilvl w:val="2"/>
          <w:numId w:val="1"/>
        </w:numPr>
        <w:tabs>
          <w:tab w:val="left" w:pos="0"/>
        </w:tabs>
        <w:spacing w:before="240" w:line="240" w:lineRule="auto"/>
        <w:ind w:left="0" w:firstLine="0"/>
      </w:pPr>
      <w:r w:rsidRPr="00F94FA9">
        <w:t>Changes to the relative composition of the gut microbiota, possibly leading to the overgrowth of normally relatively minor taxa and thence to a possible change in the balance of functions, is known as dysbiosis</w:t>
      </w:r>
      <w:r w:rsidR="008E01D7" w:rsidRPr="00F94FA9">
        <w:t>.</w:t>
      </w:r>
      <w:r w:rsidR="00462931">
        <w:t xml:space="preserve"> </w:t>
      </w:r>
      <w:r w:rsidR="003B4C45">
        <w:t>However, the term implies some detrimental alteration,</w:t>
      </w:r>
      <w:r w:rsidR="003B4C45" w:rsidRPr="00F94FA9">
        <w:t xml:space="preserve"> which may have downstream effects on the health of the digestive tract and the individual as a whole</w:t>
      </w:r>
      <w:r w:rsidR="003B4C45">
        <w:t xml:space="preserve">, whereas variation in the balance of the microbial population may be adaptive or age related and </w:t>
      </w:r>
      <w:r w:rsidR="00B11807">
        <w:t>be neither harmful nor indicative of harm done to the host</w:t>
      </w:r>
      <w:r w:rsidR="0067068D">
        <w:t xml:space="preserve"> (Undark, 2019).</w:t>
      </w:r>
      <w:r w:rsidR="0067068D" w:rsidRPr="00AE41E9">
        <w:rPr>
          <w:rFonts w:ascii="Calibri" w:hAnsi="Calibri"/>
          <w:sz w:val="22"/>
        </w:rPr>
        <w:t xml:space="preserve"> </w:t>
      </w:r>
      <w:r w:rsidR="0067068D" w:rsidRPr="00AE41E9">
        <w:rPr>
          <w:rFonts w:cs="Arial"/>
          <w:szCs w:val="24"/>
        </w:rPr>
        <w:t>The t</w:t>
      </w:r>
      <w:r w:rsidR="00D6445E" w:rsidRPr="00AE41E9">
        <w:rPr>
          <w:rFonts w:cs="Arial"/>
          <w:szCs w:val="24"/>
        </w:rPr>
        <w:t>erm</w:t>
      </w:r>
      <w:r w:rsidR="00D6445E">
        <w:t xml:space="preserve"> </w:t>
      </w:r>
      <w:r w:rsidR="0067068D">
        <w:t xml:space="preserve">dysbiosis </w:t>
      </w:r>
      <w:r w:rsidR="00D6445E">
        <w:t>is used in this paper</w:t>
      </w:r>
      <w:r w:rsidR="00FF77D6">
        <w:t xml:space="preserve"> to indicate a change in the make-up of the microbiota</w:t>
      </w:r>
      <w:r w:rsidR="003A2C1A">
        <w:t xml:space="preserve"> and where an author remarks on correlation with, for example</w:t>
      </w:r>
      <w:r w:rsidR="00040632">
        <w:t>,</w:t>
      </w:r>
      <w:r w:rsidR="003A2C1A">
        <w:t xml:space="preserve"> a disease state</w:t>
      </w:r>
      <w:r w:rsidR="00040632">
        <w:t>,</w:t>
      </w:r>
      <w:r w:rsidR="003A2C1A">
        <w:t xml:space="preserve"> then this may be noted but no causation is implied.</w:t>
      </w:r>
    </w:p>
    <w:p w:rsidR="00AE41E9" w:rsidRDefault="00AE41E9" w:rsidP="00F40887">
      <w:pPr>
        <w:pStyle w:val="ListParagraph"/>
      </w:pPr>
    </w:p>
    <w:p w:rsidR="00A6645B" w:rsidRDefault="003A4E97" w:rsidP="00F40887">
      <w:pPr>
        <w:pStyle w:val="ListParagraph"/>
        <w:numPr>
          <w:ilvl w:val="2"/>
          <w:numId w:val="1"/>
        </w:numPr>
        <w:tabs>
          <w:tab w:val="left" w:pos="0"/>
        </w:tabs>
        <w:spacing w:before="240" w:line="240" w:lineRule="auto"/>
        <w:ind w:left="0" w:firstLine="0"/>
      </w:pPr>
      <w:r w:rsidRPr="00F94FA9">
        <w:t xml:space="preserve">Changes in the ratio of </w:t>
      </w:r>
      <w:r w:rsidRPr="00AE41E9">
        <w:rPr>
          <w:i/>
        </w:rPr>
        <w:t>Firmicutes</w:t>
      </w:r>
      <w:r w:rsidRPr="00F94FA9">
        <w:t xml:space="preserve"> to </w:t>
      </w:r>
      <w:r w:rsidRPr="00AE41E9">
        <w:rPr>
          <w:i/>
        </w:rPr>
        <w:t xml:space="preserve">Bacteroidetes </w:t>
      </w:r>
      <w:r w:rsidR="000F7E03" w:rsidRPr="00F94FA9">
        <w:t xml:space="preserve">ratio </w:t>
      </w:r>
      <w:r w:rsidRPr="00F94FA9">
        <w:t>are frequently</w:t>
      </w:r>
      <w:r w:rsidR="000F7E03" w:rsidRPr="00F94FA9">
        <w:t xml:space="preserve"> used in the literature to indicate dysbiosis, possibly caused by an ingested substance</w:t>
      </w:r>
      <w:r w:rsidR="00BC7FA3">
        <w:t xml:space="preserve"> or disease state</w:t>
      </w:r>
      <w:r w:rsidR="00553A55" w:rsidRPr="00F94FA9">
        <w:t>.</w:t>
      </w:r>
      <w:r w:rsidRPr="00F94FA9">
        <w:t xml:space="preserve"> </w:t>
      </w:r>
      <w:r w:rsidR="00492557" w:rsidRPr="00F94FA9">
        <w:t xml:space="preserve">Ley </w:t>
      </w:r>
      <w:r w:rsidR="00492557" w:rsidRPr="00AE41E9">
        <w:rPr>
          <w:i/>
        </w:rPr>
        <w:t xml:space="preserve">et </w:t>
      </w:r>
      <w:r w:rsidR="00492557" w:rsidRPr="005100CB">
        <w:rPr>
          <w:i/>
        </w:rPr>
        <w:t>al</w:t>
      </w:r>
      <w:r w:rsidR="00492557" w:rsidRPr="00F94FA9">
        <w:t xml:space="preserve"> (2005) found that in homozygous genetically obese (ob/ob) mice, the population of the </w:t>
      </w:r>
      <w:r w:rsidR="00492557" w:rsidRPr="00AE41E9">
        <w:rPr>
          <w:i/>
        </w:rPr>
        <w:t>Firmicutes</w:t>
      </w:r>
      <w:r w:rsidRPr="00AE41E9">
        <w:rPr>
          <w:i/>
        </w:rPr>
        <w:t xml:space="preserve"> (F</w:t>
      </w:r>
      <w:r w:rsidRPr="00F94FA9">
        <w:t>)</w:t>
      </w:r>
      <w:r w:rsidR="00492557" w:rsidRPr="00F94FA9">
        <w:t xml:space="preserve"> was significantly increased and that of the </w:t>
      </w:r>
      <w:r w:rsidR="00492557" w:rsidRPr="00AE41E9">
        <w:rPr>
          <w:i/>
        </w:rPr>
        <w:t>Bacteroidetes</w:t>
      </w:r>
      <w:r w:rsidRPr="00AE41E9">
        <w:rPr>
          <w:i/>
        </w:rPr>
        <w:t xml:space="preserve"> (B)</w:t>
      </w:r>
      <w:r w:rsidR="00492557" w:rsidRPr="00F94FA9">
        <w:t xml:space="preserve"> significantly reduced (p&lt;0.05) relative to both wild-type</w:t>
      </w:r>
      <w:r w:rsidR="00CE2BDF">
        <w:t xml:space="preserve"> (wt/wt)</w:t>
      </w:r>
      <w:r w:rsidR="00492557" w:rsidRPr="00F94FA9">
        <w:t xml:space="preserve"> and heterozygous (ob/wt) mice.</w:t>
      </w:r>
      <w:r w:rsidR="00B753CC" w:rsidRPr="00F94FA9">
        <w:t xml:space="preserve"> The authors could not discern whether this difference was a cause or </w:t>
      </w:r>
      <w:r w:rsidR="00D969F7">
        <w:t xml:space="preserve">an </w:t>
      </w:r>
      <w:r w:rsidR="00B753CC" w:rsidRPr="00F94FA9">
        <w:t xml:space="preserve">adaptive consequence of obesity.  </w:t>
      </w:r>
      <w:r w:rsidRPr="00F94FA9">
        <w:t>K</w:t>
      </w:r>
      <w:r w:rsidR="00A87258" w:rsidRPr="00F94FA9">
        <w:t>o</w:t>
      </w:r>
      <w:r w:rsidRPr="00F94FA9">
        <w:t xml:space="preserve">liada </w:t>
      </w:r>
      <w:r w:rsidRPr="00AE41E9">
        <w:rPr>
          <w:i/>
        </w:rPr>
        <w:t>et al</w:t>
      </w:r>
      <w:r w:rsidRPr="00F94FA9">
        <w:t xml:space="preserve"> (2017) also found that adult humans had a </w:t>
      </w:r>
      <w:r w:rsidRPr="00AE41E9">
        <w:rPr>
          <w:i/>
        </w:rPr>
        <w:t>F/B</w:t>
      </w:r>
      <w:r w:rsidRPr="00F94FA9">
        <w:t xml:space="preserve"> ratio that increased in a manner that was significantly associated with individuals’ body mass index</w:t>
      </w:r>
      <w:r w:rsidR="000F7E03" w:rsidRPr="00F94FA9">
        <w:t xml:space="preserve"> (</w:t>
      </w:r>
      <w:r w:rsidR="0086293C">
        <w:t>p</w:t>
      </w:r>
      <w:r w:rsidR="000F7E03" w:rsidRPr="00F94FA9">
        <w:t>&lt;0.005)</w:t>
      </w:r>
      <w:r w:rsidRPr="00F94FA9">
        <w:t>.</w:t>
      </w:r>
      <w:r w:rsidR="000F7E03" w:rsidRPr="00F94FA9">
        <w:t xml:space="preserve"> However, these authors also point</w:t>
      </w:r>
      <w:r w:rsidR="00125777" w:rsidRPr="00F94FA9">
        <w:t>ed</w:t>
      </w:r>
      <w:r w:rsidR="000F7E03" w:rsidRPr="00F94FA9">
        <w:t xml:space="preserve"> out an earlier study by Sch</w:t>
      </w:r>
      <w:r w:rsidR="00A87258" w:rsidRPr="00F94FA9">
        <w:t>w</w:t>
      </w:r>
      <w:r w:rsidR="000F7E03" w:rsidRPr="00F94FA9">
        <w:t>iertz</w:t>
      </w:r>
      <w:r w:rsidR="000F7E03" w:rsidRPr="00AE41E9">
        <w:rPr>
          <w:i/>
        </w:rPr>
        <w:t xml:space="preserve"> et al</w:t>
      </w:r>
      <w:r w:rsidR="000F7E03" w:rsidRPr="00F94FA9">
        <w:t xml:space="preserve"> (2010)</w:t>
      </w:r>
      <w:r w:rsidR="00BC7FA3">
        <w:t>, who</w:t>
      </w:r>
      <w:r w:rsidR="00553A55" w:rsidRPr="00F94FA9">
        <w:t xml:space="preserve"> </w:t>
      </w:r>
      <w:r w:rsidR="00125777" w:rsidRPr="00F94FA9">
        <w:t xml:space="preserve">found that a reduction in the </w:t>
      </w:r>
      <w:r w:rsidR="00125777" w:rsidRPr="00AE41E9">
        <w:rPr>
          <w:i/>
        </w:rPr>
        <w:t>F/B</w:t>
      </w:r>
      <w:r w:rsidR="00125777" w:rsidRPr="00F94FA9">
        <w:t xml:space="preserve"> ratio was associated with </w:t>
      </w:r>
      <w:r w:rsidR="00870D65">
        <w:t xml:space="preserve">being </w:t>
      </w:r>
      <w:r w:rsidR="00125777" w:rsidRPr="00F94FA9">
        <w:t>overweight</w:t>
      </w:r>
      <w:r w:rsidR="00553A55" w:rsidRPr="00F94FA9">
        <w:t xml:space="preserve"> in otherwise healthy human volunteers.</w:t>
      </w:r>
      <w:r w:rsidR="00D90E38" w:rsidRPr="00F94FA9">
        <w:t xml:space="preserve"> In addition, Mariat </w:t>
      </w:r>
      <w:r w:rsidR="00D90E38" w:rsidRPr="00AE41E9">
        <w:rPr>
          <w:i/>
        </w:rPr>
        <w:t>et al</w:t>
      </w:r>
      <w:r w:rsidR="00D90E38" w:rsidRPr="00F94FA9">
        <w:t xml:space="preserve"> (2009) reported that the </w:t>
      </w:r>
      <w:r w:rsidR="00D90E38" w:rsidRPr="00AE41E9">
        <w:rPr>
          <w:i/>
        </w:rPr>
        <w:t>F/B</w:t>
      </w:r>
      <w:r w:rsidR="00D90E38" w:rsidRPr="00F94FA9">
        <w:t xml:space="preserve"> ratio in humans changed significantly with age, such that its</w:t>
      </w:r>
      <w:r w:rsidR="00AB049A" w:rsidRPr="00F94FA9">
        <w:t xml:space="preserve"> median</w:t>
      </w:r>
      <w:r w:rsidR="00D90E38" w:rsidRPr="00F94FA9">
        <w:t xml:space="preserve"> value in infants (aged 3 weeks to 10 months) was found to be </w:t>
      </w:r>
      <w:r w:rsidR="00AB049A" w:rsidRPr="00F94FA9">
        <w:t>0.4, in adults (25 to 45 years) 10.9 and in elderly people (70 to 90 years) 0.6, indicating natural age-related changes</w:t>
      </w:r>
      <w:r w:rsidR="00D9105E" w:rsidRPr="00F94FA9">
        <w:t xml:space="preserve"> in the make-up of the microbiota</w:t>
      </w:r>
      <w:r w:rsidR="00ED4229">
        <w:t>, but with apparent stability in the middle years</w:t>
      </w:r>
      <w:r w:rsidR="00D9105E" w:rsidRPr="00F94FA9">
        <w:t>.</w:t>
      </w:r>
    </w:p>
    <w:p w:rsidR="00AE41E9" w:rsidRDefault="00AE41E9" w:rsidP="00F40887">
      <w:pPr>
        <w:pStyle w:val="ListParagraph"/>
        <w:tabs>
          <w:tab w:val="left" w:pos="0"/>
        </w:tabs>
        <w:spacing w:before="240" w:line="240" w:lineRule="auto"/>
        <w:ind w:left="0"/>
      </w:pPr>
    </w:p>
    <w:p w:rsidR="00176957" w:rsidRDefault="00321DFA" w:rsidP="00F40887">
      <w:pPr>
        <w:pStyle w:val="ListParagraph"/>
        <w:numPr>
          <w:ilvl w:val="2"/>
          <w:numId w:val="1"/>
        </w:numPr>
        <w:tabs>
          <w:tab w:val="left" w:pos="0"/>
        </w:tabs>
        <w:spacing w:before="240" w:line="240" w:lineRule="auto"/>
        <w:ind w:left="0" w:firstLine="0"/>
      </w:pPr>
      <w:r>
        <w:t xml:space="preserve">Scepanovic </w:t>
      </w:r>
      <w:r w:rsidRPr="00AE41E9">
        <w:rPr>
          <w:i/>
          <w:iCs/>
        </w:rPr>
        <w:t xml:space="preserve">et al </w:t>
      </w:r>
      <w:r>
        <w:t>(2019) investigated the effects of host genetics and demographic/ environmental factors on the diversity of the gut bacterial flora of 1000 healthy volunteers (500 men, 500 women, 200 subjects in every decade from 20 to 70 years of age). Volunteers’ stool samples were subjected to 16S rRNA gene analysis, detailed demographics questionnaires were completed</w:t>
      </w:r>
      <w:r w:rsidR="00ED1816">
        <w:t>,</w:t>
      </w:r>
      <w:r w:rsidR="00ED64F3">
        <w:t xml:space="preserve"> and blood samples were genotyped. </w:t>
      </w:r>
      <w:r w:rsidR="001F663B">
        <w:t>Bacterial diversity showed much higher correlation with l</w:t>
      </w:r>
      <w:r w:rsidR="00ED64F3">
        <w:t xml:space="preserve">ifestyle factors than </w:t>
      </w:r>
      <w:r w:rsidR="001F663B">
        <w:t xml:space="preserve">with </w:t>
      </w:r>
      <w:r w:rsidR="00ED64F3">
        <w:t>genetic factors</w:t>
      </w:r>
      <w:r w:rsidR="002C4334">
        <w:t>. Diversity was known to increase with the consumption of fruit and fish and decrease with fried food</w:t>
      </w:r>
      <w:r w:rsidR="0085396F">
        <w:t>,</w:t>
      </w:r>
      <w:r w:rsidR="002D590E">
        <w:t xml:space="preserve"> but this study also went deeper and, for example, associated the species </w:t>
      </w:r>
      <w:r w:rsidR="002D590E" w:rsidRPr="00AE41E9">
        <w:rPr>
          <w:i/>
          <w:iCs/>
        </w:rPr>
        <w:t xml:space="preserve">Clostridium </w:t>
      </w:r>
      <w:r w:rsidR="00A76EDC" w:rsidRPr="00AE41E9">
        <w:rPr>
          <w:i/>
          <w:iCs/>
        </w:rPr>
        <w:t xml:space="preserve">papyrosolvens </w:t>
      </w:r>
      <w:r w:rsidR="00A76EDC">
        <w:t>of</w:t>
      </w:r>
      <w:r w:rsidR="002D590E">
        <w:t xml:space="preserve"> the </w:t>
      </w:r>
      <w:r w:rsidR="002D590E" w:rsidRPr="00AE41E9">
        <w:rPr>
          <w:i/>
          <w:iCs/>
        </w:rPr>
        <w:t>Firmicutes</w:t>
      </w:r>
      <w:r w:rsidR="002D590E">
        <w:t xml:space="preserve"> with the oral intake of mineral supplements and the presence of the family </w:t>
      </w:r>
      <w:r w:rsidR="002D590E" w:rsidRPr="00AE41E9">
        <w:rPr>
          <w:i/>
          <w:iCs/>
        </w:rPr>
        <w:t>Comamonadaceae</w:t>
      </w:r>
      <w:r w:rsidR="002D590E">
        <w:t xml:space="preserve"> with the age of subjects. To fully address the apparent lack of a significant association </w:t>
      </w:r>
      <w:r w:rsidR="001F663B">
        <w:t xml:space="preserve">between </w:t>
      </w:r>
      <w:r w:rsidR="002D590E">
        <w:t xml:space="preserve">host genetic factors such as SNPs </w:t>
      </w:r>
      <w:r w:rsidR="001F663B">
        <w:t xml:space="preserve">and </w:t>
      </w:r>
      <w:r w:rsidR="00ED1816">
        <w:t xml:space="preserve">microbiome </w:t>
      </w:r>
      <w:r w:rsidR="002D590E">
        <w:t xml:space="preserve">composition, however, the authors recommended using shotgun metagenomics instead of 16S rRNA profiling and </w:t>
      </w:r>
      <w:r w:rsidR="00CD64D1">
        <w:t>pooling large data sets.</w:t>
      </w:r>
    </w:p>
    <w:p w:rsidR="00A76EDC" w:rsidRDefault="00A76EDC" w:rsidP="00A76EDC">
      <w:pPr>
        <w:spacing w:after="0"/>
        <w:rPr>
          <w:u w:val="single"/>
        </w:rPr>
      </w:pPr>
    </w:p>
    <w:p w:rsidR="00D41E24" w:rsidRPr="00D040B4" w:rsidRDefault="00D41E24" w:rsidP="00D41E24">
      <w:pPr>
        <w:rPr>
          <w:b/>
          <w:bCs/>
        </w:rPr>
      </w:pPr>
      <w:r w:rsidRPr="00D040B4">
        <w:rPr>
          <w:b/>
          <w:bCs/>
        </w:rPr>
        <w:t>Non-bacterial components of the gut microbiota</w:t>
      </w:r>
    </w:p>
    <w:p w:rsidR="00D41E24" w:rsidRPr="00CF23B1" w:rsidRDefault="00D41E24" w:rsidP="00D41E24">
      <w:pPr>
        <w:rPr>
          <w:u w:val="single"/>
        </w:rPr>
      </w:pPr>
      <w:r w:rsidRPr="00CF23B1">
        <w:rPr>
          <w:u w:val="single"/>
        </w:rPr>
        <w:t>Fungi</w:t>
      </w:r>
    </w:p>
    <w:p w:rsidR="00D41E24" w:rsidRDefault="00D41E24" w:rsidP="00D41E24">
      <w:pPr>
        <w:pStyle w:val="ListParagraph"/>
        <w:numPr>
          <w:ilvl w:val="2"/>
          <w:numId w:val="1"/>
        </w:numPr>
        <w:tabs>
          <w:tab w:val="left" w:pos="0"/>
        </w:tabs>
        <w:spacing w:before="240" w:line="240" w:lineRule="auto"/>
        <w:ind w:left="0" w:firstLine="0"/>
      </w:pPr>
      <w:r>
        <w:t xml:space="preserve">The fungi that inhabit the digestive tract constitute about 0.1% of the total microbiota and are known collectively as the mycobiota. A range of species has been identified, largely within the </w:t>
      </w:r>
      <w:r w:rsidRPr="00D040B4">
        <w:rPr>
          <w:i/>
          <w:iCs/>
        </w:rPr>
        <w:t xml:space="preserve">Ascomycota </w:t>
      </w:r>
      <w:r>
        <w:t xml:space="preserve">and </w:t>
      </w:r>
      <w:r w:rsidRPr="00D040B4">
        <w:rPr>
          <w:i/>
          <w:iCs/>
        </w:rPr>
        <w:t xml:space="preserve">Basidiomycota </w:t>
      </w:r>
      <w:r>
        <w:t xml:space="preserve">phyla, dominated by </w:t>
      </w:r>
      <w:r w:rsidRPr="00D040B4">
        <w:rPr>
          <w:i/>
          <w:iCs/>
        </w:rPr>
        <w:t xml:space="preserve">Saccharomyces, Malassezia </w:t>
      </w:r>
      <w:r>
        <w:t xml:space="preserve">and </w:t>
      </w:r>
      <w:r w:rsidRPr="00D040B4">
        <w:rPr>
          <w:i/>
          <w:iCs/>
        </w:rPr>
        <w:t xml:space="preserve">Candida </w:t>
      </w:r>
      <w:r>
        <w:t>species.</w:t>
      </w:r>
      <w:r w:rsidRPr="00D040B4">
        <w:rPr>
          <w:i/>
          <w:iCs/>
        </w:rPr>
        <w:t xml:space="preserve"> </w:t>
      </w:r>
      <w:r w:rsidRPr="00095B33">
        <w:t>Like the gut bacteria</w:t>
      </w:r>
      <w:r w:rsidR="001F663B">
        <w:t>,</w:t>
      </w:r>
      <w:r>
        <w:t xml:space="preserve"> many fungal species have been found to be difficult to culture, so techniques for identifying them have included 18S rRNA gene sequencing (the eukaryotic equivalent to the 16S rRNA sequencing used for the bacteria) and Internal Transcribed Spacer (ITS) sequencing, which have provided analogous results. Nash </w:t>
      </w:r>
      <w:r w:rsidRPr="00D040B4">
        <w:rPr>
          <w:i/>
          <w:iCs/>
        </w:rPr>
        <w:t xml:space="preserve">et al </w:t>
      </w:r>
      <w:r>
        <w:t xml:space="preserve">(2017) compared the faecal mycobiome of 147 healthy HMP volunteers and found great variability between individuals but no correlation of composition with a long list of variables including age, </w:t>
      </w:r>
      <w:r w:rsidR="00AA78A8">
        <w:t>sex</w:t>
      </w:r>
      <w:r>
        <w:t xml:space="preserve">, BMI, ethnicity and tobacco use. Among the 247 genera identified, the universality of the major species </w:t>
      </w:r>
      <w:r w:rsidRPr="00D040B4">
        <w:rPr>
          <w:i/>
          <w:iCs/>
        </w:rPr>
        <w:t xml:space="preserve">S. cerevisiae, M. restricta </w:t>
      </w:r>
      <w:r>
        <w:t xml:space="preserve">and </w:t>
      </w:r>
      <w:r w:rsidRPr="00D040B4">
        <w:rPr>
          <w:i/>
          <w:iCs/>
        </w:rPr>
        <w:t>C. albicans</w:t>
      </w:r>
      <w:r>
        <w:t xml:space="preserve"> suggested that they may be resident commensals, but the possibility could not be ruled out that these fungi were present due to regular inoculation from the environment or the diet. Hallen-Adams and Suhr (2017) also reviewed work </w:t>
      </w:r>
      <w:r w:rsidR="002B2521">
        <w:t xml:space="preserve">on </w:t>
      </w:r>
      <w:r>
        <w:t>the healthy mycobiome and highlighted measured differences due to diet and the difficulties involved in ascribing the origin – commensal or contaminant – to fungi in faeces samples.</w:t>
      </w:r>
    </w:p>
    <w:p w:rsidR="00D41E24" w:rsidRDefault="00D41E24" w:rsidP="00D41E24">
      <w:pPr>
        <w:pStyle w:val="ListParagraph"/>
        <w:tabs>
          <w:tab w:val="left" w:pos="0"/>
        </w:tabs>
        <w:spacing w:before="240" w:line="240" w:lineRule="auto"/>
        <w:ind w:left="0"/>
      </w:pPr>
    </w:p>
    <w:p w:rsidR="00D41E24" w:rsidRDefault="00D41E24" w:rsidP="00D41E24">
      <w:pPr>
        <w:pStyle w:val="ListParagraph"/>
        <w:numPr>
          <w:ilvl w:val="2"/>
          <w:numId w:val="1"/>
        </w:numPr>
        <w:tabs>
          <w:tab w:val="left" w:pos="0"/>
        </w:tabs>
        <w:spacing w:before="240" w:line="240" w:lineRule="auto"/>
        <w:ind w:left="0" w:firstLine="0"/>
      </w:pPr>
      <w:r>
        <w:t xml:space="preserve">Conversely, Strati </w:t>
      </w:r>
      <w:r w:rsidRPr="00D040B4">
        <w:rPr>
          <w:i/>
          <w:iCs/>
        </w:rPr>
        <w:t xml:space="preserve">et al </w:t>
      </w:r>
      <w:r>
        <w:t xml:space="preserve">(2016) found significantly higher numbers of fungal isolates and species in females compared with males (p&lt;0.005) in a cohort of healthy Italian volunteers (49 male and 62 female).  Moreover, while diversity was not linked to </w:t>
      </w:r>
      <w:r w:rsidR="002B2521">
        <w:t>sex</w:t>
      </w:r>
      <w:r>
        <w:t xml:space="preserve">, there was a decline in diversity from infants and children to adults. Most isolates grew </w:t>
      </w:r>
      <w:r w:rsidRPr="00D040B4">
        <w:rPr>
          <w:i/>
          <w:iCs/>
        </w:rPr>
        <w:t>in vitro</w:t>
      </w:r>
      <w:r>
        <w:t xml:space="preserve"> at 37</w:t>
      </w:r>
      <w:r w:rsidRPr="00D040B4">
        <w:rPr>
          <w:vertAlign w:val="superscript"/>
        </w:rPr>
        <w:t>o</w:t>
      </w:r>
      <w:r>
        <w:t>C but were progressively inhibited at temperatures above 40</w:t>
      </w:r>
      <w:r w:rsidRPr="00D040B4">
        <w:rPr>
          <w:vertAlign w:val="superscript"/>
        </w:rPr>
        <w:t>o</w:t>
      </w:r>
      <w:r>
        <w:t xml:space="preserve">C and were sensitive to low pH (2) but grew as well at pH 3 as at pH 6.5. The presence of bile from 0.5 to 2.0% </w:t>
      </w:r>
      <w:r w:rsidR="005100CB">
        <w:t xml:space="preserve">in the culture </w:t>
      </w:r>
      <w:r>
        <w:t>did not inhibit growth. The results of these stress tests indicated that the isolates could survive colonisation conditions in the human gut. Some isolates were resistant to fungicides, but others were not.</w:t>
      </w:r>
    </w:p>
    <w:p w:rsidR="00D41E24" w:rsidRDefault="00D41E24" w:rsidP="00D41E24">
      <w:pPr>
        <w:pStyle w:val="ListParagraph"/>
      </w:pPr>
    </w:p>
    <w:p w:rsidR="00D41E24" w:rsidRDefault="00D41E24" w:rsidP="00D41E24">
      <w:pPr>
        <w:pStyle w:val="ListParagraph"/>
        <w:numPr>
          <w:ilvl w:val="2"/>
          <w:numId w:val="1"/>
        </w:numPr>
        <w:tabs>
          <w:tab w:val="left" w:pos="0"/>
        </w:tabs>
        <w:spacing w:before="240" w:line="240" w:lineRule="auto"/>
        <w:ind w:left="0" w:firstLine="0"/>
      </w:pPr>
      <w:r>
        <w:t xml:space="preserve">Schei </w:t>
      </w:r>
      <w:r w:rsidRPr="00D040B4">
        <w:rPr>
          <w:i/>
          <w:iCs/>
        </w:rPr>
        <w:t>et al</w:t>
      </w:r>
      <w:r>
        <w:t xml:space="preserve"> (2017) investigated the possibility that, </w:t>
      </w:r>
      <w:r w:rsidR="002B2521">
        <w:t>as with</w:t>
      </w:r>
      <w:r>
        <w:t xml:space="preserve"> bacteria, the gut mycobiota of new-borns was transferred to them from their mothers. The occurrence of fungi in offspring appeared to mirror</w:t>
      </w:r>
      <w:r w:rsidR="002B2521">
        <w:t>,</w:t>
      </w:r>
      <w:r>
        <w:t xml:space="preserve"> to some extent</w:t>
      </w:r>
      <w:r w:rsidR="002B2521">
        <w:t>,</w:t>
      </w:r>
      <w:r>
        <w:t xml:space="preserve"> that of their mothers but there was no observed difference between children born vaginally and by C-section. The authors reported what they claim to be the first finding of </w:t>
      </w:r>
      <w:r w:rsidRPr="00D040B4">
        <w:rPr>
          <w:i/>
          <w:iCs/>
        </w:rPr>
        <w:t>S. cerevisiae</w:t>
      </w:r>
      <w:r>
        <w:t xml:space="preserve"> in the infant gut and note that this becomes more established after initial consumption of yeast-rich food such as bread. Other fungi </w:t>
      </w:r>
      <w:r w:rsidR="002B2521">
        <w:t>originated from</w:t>
      </w:r>
      <w:r>
        <w:t xml:space="preserve"> breast milk and yet others such as those of the </w:t>
      </w:r>
      <w:r w:rsidRPr="00D040B4">
        <w:rPr>
          <w:i/>
          <w:iCs/>
        </w:rPr>
        <w:t>Agaricomycetes</w:t>
      </w:r>
      <w:r>
        <w:t>, were recognised as being of environmental origin.</w:t>
      </w:r>
    </w:p>
    <w:p w:rsidR="00D41E24" w:rsidRDefault="00D41E24" w:rsidP="00D41E24">
      <w:pPr>
        <w:pStyle w:val="ListParagraph"/>
      </w:pPr>
    </w:p>
    <w:p w:rsidR="00D41E24" w:rsidRDefault="00D41E24" w:rsidP="00D41E24">
      <w:pPr>
        <w:pStyle w:val="ListParagraph"/>
        <w:numPr>
          <w:ilvl w:val="2"/>
          <w:numId w:val="1"/>
        </w:numPr>
        <w:tabs>
          <w:tab w:val="left" w:pos="0"/>
        </w:tabs>
        <w:spacing w:before="240" w:line="240" w:lineRule="auto"/>
        <w:ind w:left="0" w:firstLine="0"/>
      </w:pPr>
      <w:r>
        <w:t xml:space="preserve"> Various fungi have been found to interact with members of the bacterial microbiota and have been associated with maintenance of homeostasis of the gut as well as with conditions such as obesity, carcinogenesis, irritable bowel syndrome,  inflammatory bowel disease and Crohn’s disease (</w:t>
      </w:r>
      <w:r w:rsidR="002B2521">
        <w:t>s</w:t>
      </w:r>
      <w:r>
        <w:t xml:space="preserve">ee papers and reviews by Sam </w:t>
      </w:r>
      <w:r w:rsidRPr="00D040B4">
        <w:rPr>
          <w:i/>
          <w:iCs/>
        </w:rPr>
        <w:t>et al</w:t>
      </w:r>
      <w:r>
        <w:t xml:space="preserve"> (2017), </w:t>
      </w:r>
      <w:r w:rsidRPr="00D040B4">
        <w:rPr>
          <w:i/>
          <w:iCs/>
        </w:rPr>
        <w:t xml:space="preserve"> </w:t>
      </w:r>
      <w:r>
        <w:t xml:space="preserve">Luan </w:t>
      </w:r>
      <w:r w:rsidRPr="00D040B4">
        <w:rPr>
          <w:i/>
          <w:iCs/>
        </w:rPr>
        <w:t>et al</w:t>
      </w:r>
      <w:r>
        <w:t xml:space="preserve"> (2015), Paterson </w:t>
      </w:r>
      <w:r w:rsidRPr="00D040B4">
        <w:rPr>
          <w:i/>
          <w:iCs/>
        </w:rPr>
        <w:t>et al</w:t>
      </w:r>
      <w:r>
        <w:t xml:space="preserve"> (2017), Gu </w:t>
      </w:r>
      <w:r w:rsidRPr="00D040B4">
        <w:rPr>
          <w:i/>
          <w:iCs/>
        </w:rPr>
        <w:t>et al</w:t>
      </w:r>
      <w:r>
        <w:t xml:space="preserve"> (2019) and Rodriguez </w:t>
      </w:r>
      <w:r w:rsidRPr="00D040B4">
        <w:rPr>
          <w:i/>
          <w:iCs/>
        </w:rPr>
        <w:t>et al</w:t>
      </w:r>
      <w:r>
        <w:t xml:space="preserve"> (2015)).</w:t>
      </w:r>
      <w:r w:rsidRPr="00DF7FCF">
        <w:t xml:space="preserve"> </w:t>
      </w:r>
      <w:r w:rsidR="001F663B">
        <w:t>Associations</w:t>
      </w:r>
      <w:r>
        <w:t xml:space="preserve"> have been </w:t>
      </w:r>
      <w:r w:rsidR="001F663B">
        <w:t xml:space="preserve">reported between </w:t>
      </w:r>
      <w:r>
        <w:t xml:space="preserve">the composition of the human intestinal mycobiota and visceral hypersensitivity in IBS patients (Botschuijver </w:t>
      </w:r>
      <w:r w:rsidRPr="00D040B4">
        <w:rPr>
          <w:i/>
          <w:iCs/>
        </w:rPr>
        <w:t>et al</w:t>
      </w:r>
      <w:r>
        <w:t xml:space="preserve">, 2017, from abstract), uveitis (Jayasudha </w:t>
      </w:r>
      <w:r w:rsidRPr="00D040B4">
        <w:rPr>
          <w:i/>
          <w:iCs/>
        </w:rPr>
        <w:t>et al</w:t>
      </w:r>
      <w:r>
        <w:t xml:space="preserve">, 2019) and neurological diseases such as multiple sclerosis and motor neurone disease (Forbes </w:t>
      </w:r>
      <w:r w:rsidRPr="00D040B4">
        <w:rPr>
          <w:i/>
          <w:iCs/>
        </w:rPr>
        <w:t>et al,</w:t>
      </w:r>
      <w:r>
        <w:t xml:space="preserve"> 2019).</w:t>
      </w:r>
    </w:p>
    <w:p w:rsidR="00D41E24" w:rsidRDefault="00D41E24" w:rsidP="00D41E24">
      <w:pPr>
        <w:pStyle w:val="ListParagraph"/>
      </w:pPr>
    </w:p>
    <w:p w:rsidR="00D41E24" w:rsidRDefault="00D41E24" w:rsidP="00D41E24">
      <w:pPr>
        <w:pStyle w:val="ListParagraph"/>
        <w:numPr>
          <w:ilvl w:val="2"/>
          <w:numId w:val="1"/>
        </w:numPr>
        <w:tabs>
          <w:tab w:val="left" w:pos="0"/>
        </w:tabs>
        <w:spacing w:before="240" w:line="240" w:lineRule="auto"/>
        <w:ind w:left="0" w:firstLine="0"/>
      </w:pPr>
      <w:r>
        <w:t xml:space="preserve">Forbes </w:t>
      </w:r>
      <w:r w:rsidRPr="00D040B4">
        <w:rPr>
          <w:i/>
          <w:iCs/>
        </w:rPr>
        <w:t>et al</w:t>
      </w:r>
      <w:r>
        <w:t xml:space="preserve"> (2019) published a pair of graphs illustrating the growth of publications per year relating to microbiome and mycobiome studies. Between 2005 and 2009 the number of microbiome papers was scarcely out of single figures per year, but then publication rate increased sharply such that there were over 3500 papers published in 2018. For the mycobiome, conversely, the first paper was published in 2008. This was followed by an accelerating increase up to the last plotted measurement, again in 2018, of about 27 papers per year</w:t>
      </w:r>
    </w:p>
    <w:p w:rsidR="00D41E24" w:rsidRPr="00CF23B1" w:rsidRDefault="00D41E24" w:rsidP="00D41E24">
      <w:pPr>
        <w:rPr>
          <w:u w:val="single"/>
        </w:rPr>
      </w:pPr>
      <w:r w:rsidRPr="00CF23B1">
        <w:rPr>
          <w:u w:val="single"/>
        </w:rPr>
        <w:t>Viruses</w:t>
      </w:r>
    </w:p>
    <w:p w:rsidR="00D41E24" w:rsidRDefault="00D41E24" w:rsidP="00D41E24">
      <w:pPr>
        <w:pStyle w:val="ListParagraph"/>
        <w:numPr>
          <w:ilvl w:val="2"/>
          <w:numId w:val="1"/>
        </w:numPr>
        <w:tabs>
          <w:tab w:val="left" w:pos="0"/>
        </w:tabs>
        <w:spacing w:before="240" w:line="240" w:lineRule="auto"/>
        <w:ind w:left="0" w:firstLine="0"/>
      </w:pPr>
      <w:r>
        <w:t>The viral content of the gut microbiota (the “virome”) is largely under-reported but may be equal in size or</w:t>
      </w:r>
      <w:r w:rsidR="002B2521">
        <w:t>,</w:t>
      </w:r>
      <w:r>
        <w:t xml:space="preserve"> in some niches</w:t>
      </w:r>
      <w:r w:rsidR="002B2521">
        <w:t>,</w:t>
      </w:r>
      <w:r>
        <w:t xml:space="preserve"> larger than the bacterial population. A variety of single- and double-stranded DNA and RNA viruses, including bacteriophages and known pathogens, have been found to inhabit the human gut, with acquisition apparently taking place postnatally through dietary, maternal and environmental contact.</w:t>
      </w:r>
    </w:p>
    <w:p w:rsidR="00D41E24" w:rsidRDefault="00D41E24" w:rsidP="00D41E24">
      <w:pPr>
        <w:pStyle w:val="ListParagraph"/>
        <w:tabs>
          <w:tab w:val="left" w:pos="0"/>
        </w:tabs>
        <w:spacing w:before="240" w:line="240" w:lineRule="auto"/>
        <w:ind w:left="0"/>
      </w:pPr>
    </w:p>
    <w:p w:rsidR="00D41E24" w:rsidRDefault="00D41E24" w:rsidP="00D41E24">
      <w:pPr>
        <w:pStyle w:val="ListParagraph"/>
        <w:numPr>
          <w:ilvl w:val="2"/>
          <w:numId w:val="1"/>
        </w:numPr>
        <w:tabs>
          <w:tab w:val="left" w:pos="0"/>
        </w:tabs>
        <w:spacing w:before="240" w:line="240" w:lineRule="auto"/>
        <w:ind w:left="0" w:firstLine="0"/>
      </w:pPr>
      <w:r>
        <w:t>Manriqu</w:t>
      </w:r>
      <w:r w:rsidRPr="00D040B4">
        <w:rPr>
          <w:rFonts w:cs="Arial"/>
        </w:rPr>
        <w:t>é</w:t>
      </w:r>
      <w:r>
        <w:t xml:space="preserve"> </w:t>
      </w:r>
      <w:r w:rsidRPr="00D040B4">
        <w:rPr>
          <w:i/>
          <w:iCs/>
        </w:rPr>
        <w:t xml:space="preserve">et al </w:t>
      </w:r>
      <w:r w:rsidRPr="00BA4096">
        <w:t>(2016)</w:t>
      </w:r>
      <w:r>
        <w:t xml:space="preserve"> discovered a healthy human phageome consisting of bacteriophages that that were shared to varying degrees between individuals. This comprised a core population that appeared to be present in all individuals, a group that were common </w:t>
      </w:r>
      <w:r w:rsidR="004A0BD5">
        <w:t xml:space="preserve">but not ubiquitous </w:t>
      </w:r>
      <w:r>
        <w:t xml:space="preserve">in a population and a third group that </w:t>
      </w:r>
      <w:r w:rsidR="004A0BD5">
        <w:t>were less common</w:t>
      </w:r>
      <w:r>
        <w:t xml:space="preserve">. The authors speculated that most, if not all, of the bacteria in the human gut possessed one or more lysogenic phages and that the active phageome consists of these viruses in the lytic phase. </w:t>
      </w:r>
      <w:r w:rsidR="00B041C9">
        <w:t xml:space="preserve">In a previous study using a </w:t>
      </w:r>
      <w:r w:rsidR="00B041C9" w:rsidRPr="00B041C9">
        <w:t>murine gut microbial ecosystem model</w:t>
      </w:r>
      <w:r w:rsidR="00B041C9">
        <w:t>, evidence was obtained for an important role for the</w:t>
      </w:r>
      <w:r w:rsidR="00B041C9" w:rsidRPr="00B041C9">
        <w:t xml:space="preserve"> </w:t>
      </w:r>
      <w:r>
        <w:t xml:space="preserve">phage population </w:t>
      </w:r>
      <w:r w:rsidR="00B041C9">
        <w:t>in modulating bacterial dynamics and Manriqu</w:t>
      </w:r>
      <w:r w:rsidR="00B041C9" w:rsidRPr="00D040B4">
        <w:rPr>
          <w:rFonts w:cs="Arial"/>
        </w:rPr>
        <w:t>é</w:t>
      </w:r>
      <w:r w:rsidR="00B041C9">
        <w:t xml:space="preserve"> </w:t>
      </w:r>
      <w:r w:rsidR="00B041C9" w:rsidRPr="00D040B4">
        <w:rPr>
          <w:i/>
          <w:iCs/>
        </w:rPr>
        <w:t xml:space="preserve">et al </w:t>
      </w:r>
      <w:r w:rsidR="00B041C9" w:rsidRPr="00BA4096">
        <w:t>(2016</w:t>
      </w:r>
      <w:r w:rsidR="00AA5AB5">
        <w:t>)</w:t>
      </w:r>
      <w:r w:rsidR="009424D2">
        <w:t xml:space="preserve"> </w:t>
      </w:r>
      <w:r w:rsidR="00AE42E9">
        <w:t xml:space="preserve">presumed </w:t>
      </w:r>
      <w:r>
        <w:t>that the relationship would be similar in the</w:t>
      </w:r>
      <w:r w:rsidRPr="00701725">
        <w:t xml:space="preserve"> </w:t>
      </w:r>
      <w:r>
        <w:t>human gut</w:t>
      </w:r>
      <w:r w:rsidR="00AE42E9">
        <w:t>.</w:t>
      </w:r>
    </w:p>
    <w:p w:rsidR="00D41E24" w:rsidRDefault="00D41E24" w:rsidP="00D41E24">
      <w:pPr>
        <w:pStyle w:val="ListParagraph"/>
      </w:pPr>
    </w:p>
    <w:p w:rsidR="00D41E24" w:rsidRDefault="00D41E24" w:rsidP="00D41E24">
      <w:pPr>
        <w:pStyle w:val="ListParagraph"/>
        <w:numPr>
          <w:ilvl w:val="2"/>
          <w:numId w:val="1"/>
        </w:numPr>
        <w:tabs>
          <w:tab w:val="left" w:pos="0"/>
        </w:tabs>
        <w:spacing w:before="240" w:line="240" w:lineRule="auto"/>
        <w:ind w:left="0" w:firstLine="0"/>
      </w:pPr>
      <w:r>
        <w:t xml:space="preserve">The presence of bacteriophages in the human gut microbiota appears to have advantages and disadvantages to the health of the flora and in the downstream health of the host. A number of reviews were found that cover the influence of phages on the acquisition of AMR genes by the bacteria, control of the balance of taxa, host immunity and involvement in the aetiology of metabolic and inflammatory diseases. (Aggarwala </w:t>
      </w:r>
      <w:r w:rsidRPr="00D040B4">
        <w:rPr>
          <w:i/>
          <w:iCs/>
        </w:rPr>
        <w:t>et al</w:t>
      </w:r>
      <w:r>
        <w:t xml:space="preserve"> (2017), Santiago Rodriguez TM </w:t>
      </w:r>
      <w:r w:rsidRPr="00D040B4">
        <w:rPr>
          <w:i/>
          <w:iCs/>
        </w:rPr>
        <w:t>et al</w:t>
      </w:r>
      <w:r>
        <w:t xml:space="preserve">, (2019), Garmaeva </w:t>
      </w:r>
      <w:r w:rsidRPr="00D040B4">
        <w:rPr>
          <w:i/>
          <w:iCs/>
        </w:rPr>
        <w:t>et al</w:t>
      </w:r>
      <w:r>
        <w:t xml:space="preserve"> (2019), Zuo </w:t>
      </w:r>
      <w:r w:rsidRPr="00D040B4">
        <w:rPr>
          <w:i/>
          <w:iCs/>
        </w:rPr>
        <w:t>et al</w:t>
      </w:r>
      <w:r>
        <w:t xml:space="preserve"> (2019), Lawrence </w:t>
      </w:r>
      <w:r w:rsidRPr="00D040B4">
        <w:rPr>
          <w:i/>
          <w:iCs/>
        </w:rPr>
        <w:t>et al</w:t>
      </w:r>
      <w:r>
        <w:t xml:space="preserve"> (2019), Mukhopadhya</w:t>
      </w:r>
      <w:r w:rsidRPr="00D040B4">
        <w:rPr>
          <w:i/>
          <w:iCs/>
        </w:rPr>
        <w:t xml:space="preserve"> et al</w:t>
      </w:r>
      <w:r>
        <w:t xml:space="preserve"> (2019), Neil </w:t>
      </w:r>
      <w:r w:rsidRPr="00D040B4">
        <w:rPr>
          <w:i/>
          <w:iCs/>
        </w:rPr>
        <w:t xml:space="preserve">et al </w:t>
      </w:r>
      <w:r>
        <w:t>(2018), Carding</w:t>
      </w:r>
      <w:r w:rsidRPr="00D040B4">
        <w:rPr>
          <w:i/>
          <w:iCs/>
        </w:rPr>
        <w:t xml:space="preserve"> et al</w:t>
      </w:r>
      <w:r>
        <w:t xml:space="preserve"> (2017), Lim </w:t>
      </w:r>
      <w:r w:rsidRPr="00D040B4">
        <w:rPr>
          <w:i/>
          <w:iCs/>
        </w:rPr>
        <w:t>et al</w:t>
      </w:r>
      <w:r>
        <w:t xml:space="preserve"> (2015), Ogilvie &amp; Jones (2015), Minot </w:t>
      </w:r>
      <w:r w:rsidRPr="00D040B4">
        <w:rPr>
          <w:i/>
          <w:iCs/>
        </w:rPr>
        <w:t>et al</w:t>
      </w:r>
      <w:r>
        <w:t xml:space="preserve"> (2011))</w:t>
      </w:r>
    </w:p>
    <w:p w:rsidR="00D41E24" w:rsidRPr="00AF6349" w:rsidRDefault="00D41E24" w:rsidP="00D41E24">
      <w:pPr>
        <w:rPr>
          <w:i/>
          <w:iCs/>
          <w:u w:val="single"/>
        </w:rPr>
      </w:pPr>
      <w:r w:rsidRPr="00AF6349">
        <w:rPr>
          <w:i/>
          <w:iCs/>
          <w:u w:val="single"/>
        </w:rPr>
        <w:t>Arch</w:t>
      </w:r>
      <w:r w:rsidR="007573E5" w:rsidRPr="00AF6349">
        <w:rPr>
          <w:i/>
          <w:iCs/>
          <w:u w:val="single"/>
        </w:rPr>
        <w:t>a</w:t>
      </w:r>
      <w:r w:rsidRPr="00AF6349">
        <w:rPr>
          <w:i/>
          <w:iCs/>
          <w:u w:val="single"/>
        </w:rPr>
        <w:t>ea</w:t>
      </w:r>
    </w:p>
    <w:p w:rsidR="00D41E24" w:rsidRDefault="00D41E24" w:rsidP="00D41E24">
      <w:pPr>
        <w:pStyle w:val="ListParagraph"/>
        <w:numPr>
          <w:ilvl w:val="2"/>
          <w:numId w:val="1"/>
        </w:numPr>
        <w:tabs>
          <w:tab w:val="left" w:pos="0"/>
        </w:tabs>
        <w:spacing w:before="240" w:line="240" w:lineRule="auto"/>
        <w:ind w:left="0" w:firstLine="0"/>
      </w:pPr>
      <w:r>
        <w:t xml:space="preserve">The human gut (along with other niches) also plays host to members of the </w:t>
      </w:r>
      <w:r w:rsidR="006B358F">
        <w:rPr>
          <w:i/>
          <w:iCs/>
        </w:rPr>
        <w:t>a</w:t>
      </w:r>
      <w:r w:rsidRPr="00D040B4">
        <w:rPr>
          <w:i/>
          <w:iCs/>
        </w:rPr>
        <w:t>rch</w:t>
      </w:r>
      <w:r w:rsidR="007573E5">
        <w:rPr>
          <w:i/>
          <w:iCs/>
        </w:rPr>
        <w:t>a</w:t>
      </w:r>
      <w:r w:rsidRPr="00D040B4">
        <w:rPr>
          <w:i/>
          <w:iCs/>
        </w:rPr>
        <w:t>ea</w:t>
      </w:r>
      <w:r>
        <w:t xml:space="preserve">, which are similar in morphology to bacteria but also possess eukaryotic traits as well as unique features. These organisms are relatively poorly characterised since most analyses of the microbiota are tailored towards identification of bacteria. However, a number of species have been associated with the human gastrointestinal tract, many of which are methane producers by various metabolic pathways, the most prevalent organism being </w:t>
      </w:r>
      <w:r w:rsidRPr="00D040B4">
        <w:rPr>
          <w:i/>
          <w:iCs/>
        </w:rPr>
        <w:t>Methanobrevibacter smithii.</w:t>
      </w:r>
      <w:r>
        <w:t xml:space="preserve"> Positive and negative correlations have been found between the titres of the </w:t>
      </w:r>
      <w:r w:rsidRPr="00D040B4">
        <w:rPr>
          <w:i/>
          <w:iCs/>
        </w:rPr>
        <w:t>rch</w:t>
      </w:r>
      <w:r w:rsidR="007573E5">
        <w:rPr>
          <w:i/>
          <w:iCs/>
        </w:rPr>
        <w:t>a</w:t>
      </w:r>
      <w:r w:rsidRPr="00D040B4">
        <w:rPr>
          <w:i/>
          <w:iCs/>
        </w:rPr>
        <w:t>ea</w:t>
      </w:r>
      <w:r>
        <w:t xml:space="preserve"> and the gut bacteria, but no unequivocal correlations have been </w:t>
      </w:r>
      <w:r w:rsidR="004A0BD5">
        <w:t>confirmed</w:t>
      </w:r>
      <w:r>
        <w:t xml:space="preserve"> between the </w:t>
      </w:r>
      <w:r w:rsidRPr="00D040B4">
        <w:rPr>
          <w:i/>
          <w:iCs/>
        </w:rPr>
        <w:t>arche</w:t>
      </w:r>
      <w:r w:rsidR="00191B07">
        <w:rPr>
          <w:i/>
          <w:iCs/>
        </w:rPr>
        <w:t>a</w:t>
      </w:r>
      <w:r w:rsidRPr="00D040B4">
        <w:rPr>
          <w:i/>
          <w:iCs/>
        </w:rPr>
        <w:t xml:space="preserve"> </w:t>
      </w:r>
      <w:r>
        <w:t xml:space="preserve">and metabolic or inflammatory disease. See, for example, Gaci </w:t>
      </w:r>
      <w:r w:rsidRPr="00D040B4">
        <w:rPr>
          <w:i/>
          <w:iCs/>
        </w:rPr>
        <w:t>et al</w:t>
      </w:r>
      <w:r>
        <w:t xml:space="preserve"> (2014), Hoffmann </w:t>
      </w:r>
      <w:r w:rsidRPr="00D040B4">
        <w:rPr>
          <w:i/>
          <w:iCs/>
        </w:rPr>
        <w:t>et al</w:t>
      </w:r>
      <w:r>
        <w:t xml:space="preserve"> (2013), Koskinen </w:t>
      </w:r>
      <w:r w:rsidRPr="00D040B4">
        <w:rPr>
          <w:i/>
          <w:iCs/>
        </w:rPr>
        <w:t>et al</w:t>
      </w:r>
      <w:r>
        <w:t xml:space="preserve"> (2017). Ramezani </w:t>
      </w:r>
      <w:r w:rsidRPr="00D040B4">
        <w:rPr>
          <w:i/>
          <w:iCs/>
        </w:rPr>
        <w:t xml:space="preserve">et al </w:t>
      </w:r>
      <w:r>
        <w:t xml:space="preserve">(2018) found that the presence of </w:t>
      </w:r>
      <w:r w:rsidRPr="00D040B4">
        <w:rPr>
          <w:i/>
          <w:iCs/>
        </w:rPr>
        <w:t>M.</w:t>
      </w:r>
      <w:r w:rsidR="00DF2BEF">
        <w:rPr>
          <w:i/>
          <w:iCs/>
        </w:rPr>
        <w:t xml:space="preserve"> </w:t>
      </w:r>
      <w:r w:rsidRPr="00D040B4">
        <w:rPr>
          <w:i/>
          <w:iCs/>
        </w:rPr>
        <w:t>smithii</w:t>
      </w:r>
      <w:r>
        <w:t xml:space="preserve">, which is known to metabolise trimethylamine to produce methane, in the gut of apolipoprotein </w:t>
      </w:r>
      <w:r w:rsidRPr="005C43BE">
        <w:t>e</w:t>
      </w:r>
      <w:r w:rsidRPr="00D040B4">
        <w:rPr>
          <w:vertAlign w:val="superscript"/>
        </w:rPr>
        <w:t xml:space="preserve">-/-  </w:t>
      </w:r>
      <w:r w:rsidRPr="005C43BE">
        <w:t>mice</w:t>
      </w:r>
      <w:r>
        <w:t>,</w:t>
      </w:r>
      <w:r w:rsidRPr="00D040B4">
        <w:rPr>
          <w:vertAlign w:val="superscript"/>
        </w:rPr>
        <w:t xml:space="preserve"> </w:t>
      </w:r>
      <w:r w:rsidRPr="005C43BE">
        <w:t>reduced</w:t>
      </w:r>
      <w:r>
        <w:t xml:space="preserve"> the blood plasma level of trimethylamine N-oxide, which is linked to the development of atherosclerosis.  The authors recognised, however that this was a small study that would need to be followed up.</w:t>
      </w:r>
    </w:p>
    <w:p w:rsidR="00D41E24" w:rsidRPr="00CF23B1" w:rsidRDefault="00D41E24" w:rsidP="00D41E24">
      <w:pPr>
        <w:rPr>
          <w:u w:val="single"/>
        </w:rPr>
      </w:pPr>
      <w:r w:rsidRPr="00CF23B1">
        <w:rPr>
          <w:u w:val="single"/>
        </w:rPr>
        <w:t>Protozoa</w:t>
      </w:r>
    </w:p>
    <w:p w:rsidR="00152F00" w:rsidRDefault="00D41E24" w:rsidP="00D41E24">
      <w:pPr>
        <w:pStyle w:val="ListParagraph"/>
        <w:numPr>
          <w:ilvl w:val="2"/>
          <w:numId w:val="1"/>
        </w:numPr>
        <w:tabs>
          <w:tab w:val="left" w:pos="0"/>
        </w:tabs>
        <w:spacing w:before="240" w:line="240" w:lineRule="auto"/>
        <w:ind w:left="0" w:firstLine="0"/>
      </w:pPr>
      <w:r>
        <w:t xml:space="preserve">Berrilli </w:t>
      </w:r>
      <w:r w:rsidRPr="00D040B4">
        <w:rPr>
          <w:i/>
          <w:iCs/>
        </w:rPr>
        <w:t>et al</w:t>
      </w:r>
      <w:r>
        <w:t xml:space="preserve"> (2012) reviewed the interactions between the bacteria of the human gut and eukaryotic microorganisms, treating separately protozoa, such as </w:t>
      </w:r>
      <w:r w:rsidRPr="00D040B4">
        <w:rPr>
          <w:i/>
          <w:iCs/>
        </w:rPr>
        <w:t xml:space="preserve">Cryptosporidium, Entamoeba </w:t>
      </w:r>
      <w:r>
        <w:t xml:space="preserve">and </w:t>
      </w:r>
      <w:r w:rsidRPr="00D040B4">
        <w:rPr>
          <w:i/>
          <w:iCs/>
        </w:rPr>
        <w:t xml:space="preserve">Giardia </w:t>
      </w:r>
      <w:r>
        <w:t xml:space="preserve">and helminths such as nematodes, flatworms and roundworms. Infestation with the protozoa may be symptomless but can also cause a spectrum of diarrhoeal disease from mild and self-limiting to severe and prolonged. Bacterial-protozoal interactions have been observed in mice to attenuate protozoal pathogenicity but may also exacerbate it. The presence of Gram-negative bacteria, such as </w:t>
      </w:r>
      <w:r w:rsidRPr="00D040B4">
        <w:rPr>
          <w:i/>
          <w:iCs/>
        </w:rPr>
        <w:t>E. coli</w:t>
      </w:r>
      <w:r>
        <w:t xml:space="preserve"> has been shown to enhance the virulence of </w:t>
      </w:r>
      <w:r w:rsidRPr="00D040B4">
        <w:rPr>
          <w:i/>
          <w:iCs/>
        </w:rPr>
        <w:t>Entamoeba histolytica</w:t>
      </w:r>
      <w:r>
        <w:t xml:space="preserve">. </w:t>
      </w:r>
    </w:p>
    <w:p w:rsidR="00152F00" w:rsidRDefault="00152F00" w:rsidP="00AF6349">
      <w:pPr>
        <w:pStyle w:val="ListParagraph"/>
        <w:tabs>
          <w:tab w:val="left" w:pos="0"/>
        </w:tabs>
        <w:spacing w:before="240" w:line="240" w:lineRule="auto"/>
        <w:ind w:left="0"/>
      </w:pPr>
    </w:p>
    <w:p w:rsidR="00D41E24" w:rsidRDefault="00E92825" w:rsidP="00D41E24">
      <w:pPr>
        <w:pStyle w:val="ListParagraph"/>
        <w:numPr>
          <w:ilvl w:val="2"/>
          <w:numId w:val="1"/>
        </w:numPr>
        <w:tabs>
          <w:tab w:val="left" w:pos="0"/>
        </w:tabs>
        <w:spacing w:before="240" w:line="240" w:lineRule="auto"/>
        <w:ind w:left="0" w:firstLine="0"/>
      </w:pPr>
      <w:r w:rsidRPr="00E92825">
        <w:t>Many gut protozoa</w:t>
      </w:r>
      <w:r>
        <w:t xml:space="preserve">, for example </w:t>
      </w:r>
      <w:r w:rsidRPr="00AF6349">
        <w:rPr>
          <w:i/>
          <w:iCs/>
        </w:rPr>
        <w:t>T. gondii</w:t>
      </w:r>
      <w:r>
        <w:t xml:space="preserve"> and </w:t>
      </w:r>
      <w:r w:rsidRPr="00AF6349">
        <w:rPr>
          <w:i/>
          <w:iCs/>
        </w:rPr>
        <w:t>Giardia</w:t>
      </w:r>
      <w:r w:rsidR="0039491E">
        <w:rPr>
          <w:i/>
          <w:iCs/>
        </w:rPr>
        <w:t>,</w:t>
      </w:r>
      <w:r w:rsidRPr="00E92825">
        <w:t xml:space="preserve"> damage the epithelium </w:t>
      </w:r>
      <w:r>
        <w:t>and</w:t>
      </w:r>
      <w:r w:rsidRPr="00E92825">
        <w:t xml:space="preserve"> disrupt the mucus layer, </w:t>
      </w:r>
      <w:r>
        <w:t>which</w:t>
      </w:r>
      <w:r w:rsidRPr="00E92825">
        <w:t xml:space="preserve"> can </w:t>
      </w:r>
      <w:r>
        <w:t xml:space="preserve">allow </w:t>
      </w:r>
      <w:r w:rsidRPr="00E92825">
        <w:t>microbes greater contact with and even translocation across the epithelial barrier</w:t>
      </w:r>
      <w:r>
        <w:t xml:space="preserve">. Conversely, </w:t>
      </w:r>
      <w:r w:rsidRPr="00E92825">
        <w:t>helminths often promote epithelial regeneration and mucus production</w:t>
      </w:r>
      <w:r w:rsidR="00284090">
        <w:t>,</w:t>
      </w:r>
      <w:r w:rsidRPr="00E92825">
        <w:t xml:space="preserve"> through upregulation of host IL-22 production</w:t>
      </w:r>
      <w:r w:rsidR="00284090">
        <w:t>,</w:t>
      </w:r>
      <w:r w:rsidRPr="00E92825">
        <w:t xml:space="preserve"> help</w:t>
      </w:r>
      <w:r w:rsidR="0039491E">
        <w:t>ing to</w:t>
      </w:r>
      <w:r w:rsidRPr="00E92825">
        <w:t xml:space="preserve"> contain bacteria within the gut and limit their access to the epithelium</w:t>
      </w:r>
      <w:r w:rsidR="0039491E">
        <w:t>.</w:t>
      </w:r>
      <w:r w:rsidRPr="00E92825">
        <w:t xml:space="preserve"> However, some helminth species, including </w:t>
      </w:r>
      <w:r w:rsidRPr="00AF6349">
        <w:rPr>
          <w:i/>
          <w:iCs/>
        </w:rPr>
        <w:t>Strongyloides venezuelensis</w:t>
      </w:r>
      <w:r w:rsidRPr="00E92825">
        <w:t xml:space="preserve"> </w:t>
      </w:r>
      <w:r w:rsidR="0039491E">
        <w:t>and</w:t>
      </w:r>
      <w:r w:rsidRPr="00E92825">
        <w:t xml:space="preserve"> </w:t>
      </w:r>
      <w:r w:rsidRPr="00AF6349">
        <w:rPr>
          <w:i/>
          <w:iCs/>
        </w:rPr>
        <w:t>Trichinella spiralis,</w:t>
      </w:r>
      <w:r w:rsidRPr="00E92825">
        <w:t xml:space="preserve"> </w:t>
      </w:r>
      <w:r w:rsidR="0039491E">
        <w:t>also appear</w:t>
      </w:r>
      <w:r w:rsidRPr="00E92825">
        <w:t xml:space="preserve"> to alter junctional proteins, sometimes at sites distant from those of parasite attachment</w:t>
      </w:r>
      <w:r w:rsidR="0039491E">
        <w:t>,</w:t>
      </w:r>
      <w:r w:rsidRPr="00E92825">
        <w:t xml:space="preserve"> which can allow bacteria and bacterial </w:t>
      </w:r>
      <w:r w:rsidR="00836F97">
        <w:t>lipopolysaccharide (</w:t>
      </w:r>
      <w:r w:rsidRPr="00E92825">
        <w:t>LPS</w:t>
      </w:r>
      <w:r w:rsidR="00836F97">
        <w:t>)</w:t>
      </w:r>
      <w:r w:rsidRPr="00E92825">
        <w:t xml:space="preserve"> into the portal circulation</w:t>
      </w:r>
      <w:r w:rsidR="00284090">
        <w:t>.</w:t>
      </w:r>
      <w:r w:rsidRPr="00E92825">
        <w:t xml:space="preserve"> Helminths </w:t>
      </w:r>
      <w:r w:rsidR="0039491E">
        <w:t xml:space="preserve">and protozoa </w:t>
      </w:r>
      <w:r w:rsidRPr="00E92825">
        <w:t>may thus have opposing effects on barrier function</w:t>
      </w:r>
      <w:r w:rsidR="0039491E">
        <w:t xml:space="preserve">, but this </w:t>
      </w:r>
      <w:r w:rsidR="00A20581">
        <w:t xml:space="preserve">may be species dependent (Review by Leung </w:t>
      </w:r>
      <w:r w:rsidR="00A20581">
        <w:rPr>
          <w:i/>
          <w:iCs/>
        </w:rPr>
        <w:t xml:space="preserve">et al, </w:t>
      </w:r>
      <w:r w:rsidR="00A20581">
        <w:t>2018).</w:t>
      </w:r>
      <w:r w:rsidRPr="00E92825">
        <w:t xml:space="preserve"> </w:t>
      </w:r>
      <w:r w:rsidR="00D41E24">
        <w:t xml:space="preserve"> </w:t>
      </w:r>
    </w:p>
    <w:p w:rsidR="00D41E24" w:rsidRDefault="00D41E24" w:rsidP="00D41E24">
      <w:pPr>
        <w:pStyle w:val="ListParagraph"/>
        <w:tabs>
          <w:tab w:val="left" w:pos="0"/>
        </w:tabs>
        <w:spacing w:before="240" w:line="240" w:lineRule="auto"/>
        <w:ind w:left="0"/>
      </w:pPr>
    </w:p>
    <w:p w:rsidR="00D41E24" w:rsidRDefault="00D41E24" w:rsidP="00D41E24">
      <w:pPr>
        <w:pStyle w:val="ListParagraph"/>
        <w:numPr>
          <w:ilvl w:val="2"/>
          <w:numId w:val="1"/>
        </w:numPr>
        <w:tabs>
          <w:tab w:val="left" w:pos="0"/>
        </w:tabs>
        <w:spacing w:before="240" w:line="240" w:lineRule="auto"/>
        <w:ind w:left="0" w:firstLine="0"/>
      </w:pPr>
      <w:r>
        <w:t xml:space="preserve">Lokmer </w:t>
      </w:r>
      <w:r w:rsidRPr="00D040B4">
        <w:rPr>
          <w:i/>
          <w:iCs/>
        </w:rPr>
        <w:t>et al</w:t>
      </w:r>
      <w:r>
        <w:t xml:space="preserve"> (2019) </w:t>
      </w:r>
      <w:r w:rsidR="005F78FA">
        <w:t>u</w:t>
      </w:r>
      <w:r>
        <w:t>sed shotgun metagenomics to identify gut protozoa from individuals living in communities at various levels of industrialisation. The authors mapped 127 protozoan genomes from various countries (57 from Cameroon, 22 from Tanzania, 18 from Peru, 19 from the USA and 11 from Italy)</w:t>
      </w:r>
      <w:r w:rsidR="005F78FA">
        <w:t>.</w:t>
      </w:r>
      <w:r>
        <w:t xml:space="preserve"> The species </w:t>
      </w:r>
      <w:r w:rsidRPr="00D040B4">
        <w:rPr>
          <w:i/>
          <w:iCs/>
        </w:rPr>
        <w:t>Blastocystis</w:t>
      </w:r>
      <w:r>
        <w:t xml:space="preserve"> was found in all populations, with the highest incidence in farmers from Cameroon. </w:t>
      </w:r>
      <w:r w:rsidRPr="00D040B4">
        <w:rPr>
          <w:i/>
          <w:iCs/>
        </w:rPr>
        <w:t>Entamoeba spp</w:t>
      </w:r>
      <w:r>
        <w:t xml:space="preserve"> were </w:t>
      </w:r>
      <w:r w:rsidR="00886AD2">
        <w:t xml:space="preserve">not </w:t>
      </w:r>
      <w:r>
        <w:t xml:space="preserve">present in </w:t>
      </w:r>
      <w:r w:rsidR="00F322B9">
        <w:t xml:space="preserve">the subjects from </w:t>
      </w:r>
      <w:r>
        <w:t>Italy and the USA, but increas</w:t>
      </w:r>
      <w:r w:rsidR="00F322B9">
        <w:t>ed</w:t>
      </w:r>
      <w:r>
        <w:t xml:space="preserve"> in non-industrialised populations</w:t>
      </w:r>
      <w:r w:rsidR="00F322B9">
        <w:t>,</w:t>
      </w:r>
      <w:r>
        <w:t xml:space="preserve"> reaching up to 90% in Peruvian hunter-gatherers.</w:t>
      </w:r>
    </w:p>
    <w:p w:rsidR="00D41E24" w:rsidRDefault="00D41E24" w:rsidP="00D41E24">
      <w:pPr>
        <w:pStyle w:val="ListParagraph"/>
      </w:pPr>
    </w:p>
    <w:p w:rsidR="00D41E24" w:rsidRDefault="00D41E24" w:rsidP="00D41E24">
      <w:pPr>
        <w:pStyle w:val="ListParagraph"/>
        <w:numPr>
          <w:ilvl w:val="2"/>
          <w:numId w:val="1"/>
        </w:numPr>
        <w:tabs>
          <w:tab w:val="left" w:pos="0"/>
        </w:tabs>
        <w:spacing w:before="240" w:line="240" w:lineRule="auto"/>
        <w:ind w:left="0" w:firstLine="0"/>
      </w:pPr>
      <w:r>
        <w:t xml:space="preserve">Parasites such as </w:t>
      </w:r>
      <w:r w:rsidRPr="00D040B4">
        <w:rPr>
          <w:i/>
          <w:iCs/>
        </w:rPr>
        <w:t>Entamoeba histolytica</w:t>
      </w:r>
      <w:r>
        <w:t xml:space="preserve">, </w:t>
      </w:r>
      <w:r w:rsidRPr="00D040B4">
        <w:rPr>
          <w:i/>
          <w:iCs/>
        </w:rPr>
        <w:t xml:space="preserve">Giardia intestinalis </w:t>
      </w:r>
      <w:r>
        <w:t xml:space="preserve">and </w:t>
      </w:r>
      <w:r w:rsidRPr="00D040B4">
        <w:rPr>
          <w:i/>
          <w:iCs/>
        </w:rPr>
        <w:t>Trichomonas suis</w:t>
      </w:r>
      <w:r>
        <w:t xml:space="preserve"> are known to produce mucolytic enzymes that allow them access to the gut epithelium as part of their pathogenicity mechanism that have downstream effects on the interplay between the host and mucous-dwelling bacteria. In response to the presence of the nematode </w:t>
      </w:r>
      <w:r w:rsidRPr="00D040B4">
        <w:rPr>
          <w:i/>
          <w:iCs/>
        </w:rPr>
        <w:t>Trichuris muris</w:t>
      </w:r>
      <w:r w:rsidR="00F322B9">
        <w:t>, the</w:t>
      </w:r>
      <w:r>
        <w:t xml:space="preserve"> mouse gut changes the expression of proteins in the mucosal layer, switching from MUC2 to MUC5AC and promotes the worm’s egestion.</w:t>
      </w:r>
    </w:p>
    <w:p w:rsidR="00D41E24" w:rsidRDefault="00D41E24" w:rsidP="00D41E24">
      <w:pPr>
        <w:pStyle w:val="ListParagraph"/>
      </w:pPr>
    </w:p>
    <w:p w:rsidR="00D41E24" w:rsidRDefault="00D41E24" w:rsidP="00D41E24">
      <w:pPr>
        <w:pStyle w:val="ListParagraph"/>
        <w:numPr>
          <w:ilvl w:val="2"/>
          <w:numId w:val="1"/>
        </w:numPr>
        <w:tabs>
          <w:tab w:val="left" w:pos="0"/>
        </w:tabs>
        <w:spacing w:before="240" w:line="240" w:lineRule="auto"/>
        <w:ind w:left="0" w:firstLine="0"/>
      </w:pPr>
      <w:r>
        <w:t>Literature searches pertaining to the effects of xenobiotics on the fungal, viral, protozoal and archaeal composition and function of the microbiota produced very few relevant papers, reflecting the current paucity of knowledge available on external influences on the lesser-investigated components of the gut flora. The remainder of this paper therefore concentrates on the better characterised bacterial component of the gut microbiota.</w:t>
      </w:r>
    </w:p>
    <w:p w:rsidR="00D41E24" w:rsidRDefault="00D41E24" w:rsidP="00A76EDC">
      <w:pPr>
        <w:spacing w:after="0"/>
        <w:rPr>
          <w:u w:val="single"/>
        </w:rPr>
      </w:pPr>
    </w:p>
    <w:p w:rsidR="00AE41E9" w:rsidRPr="00E603B4" w:rsidRDefault="00E603B4" w:rsidP="00F40887">
      <w:pPr>
        <w:rPr>
          <w:u w:val="single"/>
        </w:rPr>
      </w:pPr>
      <w:r w:rsidRPr="00E603B4">
        <w:rPr>
          <w:u w:val="single"/>
        </w:rPr>
        <w:t>M</w:t>
      </w:r>
      <w:r w:rsidR="00AE41E9" w:rsidRPr="00E603B4">
        <w:rPr>
          <w:u w:val="single"/>
        </w:rPr>
        <w:t>etabolites produced by gut microbiota</w:t>
      </w:r>
    </w:p>
    <w:p w:rsidR="00AE41E9" w:rsidRPr="00AE41E9" w:rsidRDefault="00AE41E9" w:rsidP="00F40887">
      <w:pPr>
        <w:rPr>
          <w:i/>
        </w:rPr>
      </w:pPr>
      <w:r w:rsidRPr="00AE41E9">
        <w:rPr>
          <w:i/>
        </w:rPr>
        <w:t>Short Chain Fatty Acids (SCFAs)</w:t>
      </w:r>
    </w:p>
    <w:p w:rsidR="00164C60" w:rsidRPr="00AE41E9" w:rsidRDefault="006B0A04" w:rsidP="00F40887">
      <w:pPr>
        <w:pStyle w:val="ListParagraph"/>
        <w:numPr>
          <w:ilvl w:val="2"/>
          <w:numId w:val="1"/>
        </w:numPr>
        <w:tabs>
          <w:tab w:val="left" w:pos="0"/>
        </w:tabs>
        <w:spacing w:before="240" w:line="240" w:lineRule="auto"/>
        <w:ind w:left="0" w:firstLine="0"/>
      </w:pPr>
      <w:r w:rsidRPr="00F94FA9">
        <w:t>The metabolism of carbohydrates</w:t>
      </w:r>
      <w:r w:rsidR="00E379BC" w:rsidRPr="00F94FA9">
        <w:t xml:space="preserve"> that are non-digestible by the host</w:t>
      </w:r>
      <w:r w:rsidR="00EE4478" w:rsidRPr="00F94FA9">
        <w:t>, such as inulin,</w:t>
      </w:r>
      <w:r w:rsidRPr="00F94FA9">
        <w:t xml:space="preserve"> by various bacterial genera in the gut leads to the production of short-chain fatty acids, primarily acetate, propionate and butyrate, with other lesser components, including branched-chain acids. </w:t>
      </w:r>
      <w:r w:rsidR="00EE4478" w:rsidRPr="00F94FA9">
        <w:t xml:space="preserve">Butyrate appears to be an important nutrient for the gut epithelium, </w:t>
      </w:r>
      <w:r w:rsidR="00313A29">
        <w:t xml:space="preserve">as well as </w:t>
      </w:r>
      <w:r w:rsidR="00EE4478" w:rsidRPr="00F94FA9">
        <w:t>maintaining its barrier function and thus preventing “leakage” of gut antigens and pro-inflammatory molecules into the general circulation</w:t>
      </w:r>
      <w:r w:rsidR="008C6FD4" w:rsidRPr="00F94FA9">
        <w:t xml:space="preserve">. </w:t>
      </w:r>
      <w:r w:rsidR="001C0084" w:rsidRPr="00F94FA9">
        <w:t xml:space="preserve">Butyrate has been found to be effective in reducing the symptoms of ulcerative colitis in humans (Scheppach </w:t>
      </w:r>
      <w:r w:rsidR="001C0084" w:rsidRPr="00AE41E9">
        <w:rPr>
          <w:i/>
        </w:rPr>
        <w:t>et al</w:t>
      </w:r>
      <w:r w:rsidR="001C0084" w:rsidRPr="00F94FA9">
        <w:t xml:space="preserve"> (1992)</w:t>
      </w:r>
      <w:r w:rsidR="000642CB">
        <w:t>)</w:t>
      </w:r>
      <w:r w:rsidR="001C0084" w:rsidRPr="00F94FA9">
        <w:t>.</w:t>
      </w:r>
      <w:r w:rsidR="00057904">
        <w:t xml:space="preserve"> However, Imai </w:t>
      </w:r>
      <w:r w:rsidR="00057904" w:rsidRPr="00AE41E9">
        <w:rPr>
          <w:i/>
          <w:iCs/>
        </w:rPr>
        <w:t xml:space="preserve">et al </w:t>
      </w:r>
      <w:r w:rsidR="00057904">
        <w:t>(2012</w:t>
      </w:r>
      <w:r w:rsidR="00A5460E">
        <w:t>, from abstract</w:t>
      </w:r>
      <w:r w:rsidR="00057904">
        <w:t>) found that cell-free supernatant from cultures of butyrate-producing bacteria found in the human gut</w:t>
      </w:r>
      <w:r w:rsidR="00ED4229">
        <w:t>,</w:t>
      </w:r>
      <w:r w:rsidR="00057904">
        <w:t xml:space="preserve"> such as </w:t>
      </w:r>
      <w:r w:rsidR="00057904" w:rsidRPr="00AE41E9">
        <w:rPr>
          <w:rFonts w:cs="Arial"/>
          <w:i/>
          <w:iCs/>
          <w:color w:val="212121"/>
          <w:shd w:val="clear" w:color="auto" w:fill="FFFFFF"/>
        </w:rPr>
        <w:t>Fusobacterium nucleatum</w:t>
      </w:r>
      <w:r w:rsidR="00057904" w:rsidRPr="00AE41E9">
        <w:rPr>
          <w:rFonts w:cs="Arial"/>
          <w:color w:val="212121"/>
          <w:shd w:val="clear" w:color="auto" w:fill="FFFFFF"/>
        </w:rPr>
        <w:t xml:space="preserve">, </w:t>
      </w:r>
      <w:r w:rsidR="00057904" w:rsidRPr="00AE41E9">
        <w:rPr>
          <w:rFonts w:cs="Arial"/>
          <w:i/>
          <w:iCs/>
          <w:color w:val="212121"/>
          <w:shd w:val="clear" w:color="auto" w:fill="FFFFFF"/>
        </w:rPr>
        <w:t>Clostridium cochlearium</w:t>
      </w:r>
      <w:r w:rsidR="00057904" w:rsidRPr="00AE41E9">
        <w:rPr>
          <w:rFonts w:cs="Arial"/>
          <w:color w:val="212121"/>
          <w:shd w:val="clear" w:color="auto" w:fill="FFFFFF"/>
        </w:rPr>
        <w:t xml:space="preserve"> and </w:t>
      </w:r>
      <w:r w:rsidR="00057904" w:rsidRPr="00AE41E9">
        <w:rPr>
          <w:rFonts w:cs="Arial"/>
          <w:i/>
          <w:iCs/>
          <w:color w:val="212121"/>
          <w:shd w:val="clear" w:color="auto" w:fill="FFFFFF"/>
        </w:rPr>
        <w:t>Eubacterium multiforme</w:t>
      </w:r>
      <w:r w:rsidR="00ED4229" w:rsidRPr="00AE41E9">
        <w:rPr>
          <w:rFonts w:cs="Arial"/>
          <w:i/>
          <w:iCs/>
          <w:color w:val="212121"/>
          <w:shd w:val="clear" w:color="auto" w:fill="FFFFFF"/>
        </w:rPr>
        <w:t>,</w:t>
      </w:r>
      <w:r w:rsidR="00057904" w:rsidRPr="00AE41E9">
        <w:rPr>
          <w:rFonts w:cs="Arial"/>
          <w:color w:val="212121"/>
          <w:shd w:val="clear" w:color="auto" w:fill="FFFFFF"/>
        </w:rPr>
        <w:t xml:space="preserve"> could promote histone deacetylation </w:t>
      </w:r>
      <w:r w:rsidR="00057904" w:rsidRPr="00AE41E9">
        <w:rPr>
          <w:rFonts w:cs="Arial"/>
          <w:i/>
          <w:iCs/>
          <w:color w:val="212121"/>
          <w:shd w:val="clear" w:color="auto" w:fill="FFFFFF"/>
        </w:rPr>
        <w:t xml:space="preserve">in </w:t>
      </w:r>
      <w:r w:rsidR="00ED4229" w:rsidRPr="00AE41E9">
        <w:rPr>
          <w:rFonts w:cs="Arial"/>
          <w:i/>
          <w:iCs/>
          <w:color w:val="212121"/>
          <w:shd w:val="clear" w:color="auto" w:fill="FFFFFF"/>
        </w:rPr>
        <w:t>vitro</w:t>
      </w:r>
      <w:r w:rsidR="00ED4229" w:rsidRPr="00AE41E9">
        <w:rPr>
          <w:rFonts w:cs="Arial"/>
          <w:color w:val="212121"/>
          <w:shd w:val="clear" w:color="auto" w:fill="FFFFFF"/>
        </w:rPr>
        <w:t xml:space="preserve"> </w:t>
      </w:r>
      <w:r w:rsidR="00057904" w:rsidRPr="00AE41E9">
        <w:rPr>
          <w:rFonts w:cs="Arial"/>
          <w:color w:val="212121"/>
          <w:shd w:val="clear" w:color="auto" w:fill="FFFFFF"/>
        </w:rPr>
        <w:t xml:space="preserve">and </w:t>
      </w:r>
      <w:r w:rsidR="00ED4229" w:rsidRPr="00AE41E9">
        <w:rPr>
          <w:rFonts w:cs="Arial"/>
          <w:color w:val="212121"/>
          <w:shd w:val="clear" w:color="auto" w:fill="FFFFFF"/>
        </w:rPr>
        <w:t>promote</w:t>
      </w:r>
      <w:r w:rsidR="00057904" w:rsidRPr="00AE41E9">
        <w:rPr>
          <w:rFonts w:cs="Arial"/>
          <w:color w:val="212121"/>
          <w:shd w:val="clear" w:color="auto" w:fill="FFFFFF"/>
        </w:rPr>
        <w:t xml:space="preserve"> reactiva</w:t>
      </w:r>
      <w:r w:rsidR="00ED4229" w:rsidRPr="00AE41E9">
        <w:rPr>
          <w:rFonts w:cs="Arial"/>
          <w:color w:val="212121"/>
          <w:shd w:val="clear" w:color="auto" w:fill="FFFFFF"/>
        </w:rPr>
        <w:t xml:space="preserve">tion </w:t>
      </w:r>
      <w:r w:rsidR="00A76EDC" w:rsidRPr="00AE41E9">
        <w:rPr>
          <w:rFonts w:cs="Arial"/>
          <w:color w:val="212121"/>
          <w:shd w:val="clear" w:color="auto" w:fill="FFFFFF"/>
        </w:rPr>
        <w:t>of latent</w:t>
      </w:r>
      <w:r w:rsidR="00057904" w:rsidRPr="00AE41E9">
        <w:rPr>
          <w:rFonts w:cs="Arial"/>
          <w:color w:val="212121"/>
          <w:shd w:val="clear" w:color="auto" w:fill="FFFFFF"/>
        </w:rPr>
        <w:t xml:space="preserve"> HIV-1 infection.</w:t>
      </w:r>
    </w:p>
    <w:p w:rsidR="00AE41E9" w:rsidRPr="00AE41E9" w:rsidRDefault="00AE41E9" w:rsidP="00F40887">
      <w:pPr>
        <w:pStyle w:val="ListParagraph"/>
        <w:tabs>
          <w:tab w:val="left" w:pos="0"/>
        </w:tabs>
        <w:spacing w:before="240" w:line="240" w:lineRule="auto"/>
        <w:ind w:left="0"/>
      </w:pPr>
    </w:p>
    <w:p w:rsidR="00164C60" w:rsidRDefault="003F0F16" w:rsidP="00F40887">
      <w:pPr>
        <w:pStyle w:val="ListParagraph"/>
        <w:numPr>
          <w:ilvl w:val="2"/>
          <w:numId w:val="1"/>
        </w:numPr>
        <w:tabs>
          <w:tab w:val="left" w:pos="0"/>
        </w:tabs>
        <w:spacing w:before="240" w:line="240" w:lineRule="auto"/>
        <w:ind w:left="0" w:firstLine="0"/>
      </w:pPr>
      <w:r w:rsidRPr="00F94FA9">
        <w:t xml:space="preserve">Kimura </w:t>
      </w:r>
      <w:r w:rsidRPr="00AE41E9">
        <w:rPr>
          <w:i/>
        </w:rPr>
        <w:t>et al</w:t>
      </w:r>
      <w:r w:rsidRPr="00F94FA9">
        <w:t xml:space="preserve"> (2013) investigated the </w:t>
      </w:r>
      <w:r w:rsidR="003E634B" w:rsidRPr="00F94FA9">
        <w:t>action of SCFAs at adipose tissue-expressed GPR43 G-protein-coupled receptors in wild ty</w:t>
      </w:r>
      <w:r w:rsidR="005D5BA6" w:rsidRPr="00F94FA9">
        <w:t>p</w:t>
      </w:r>
      <w:r w:rsidR="003E634B" w:rsidRPr="00F94FA9">
        <w:t xml:space="preserve">e and </w:t>
      </w:r>
      <w:r w:rsidR="003E634B" w:rsidRPr="00AE41E9">
        <w:rPr>
          <w:i/>
        </w:rPr>
        <w:t>Gpr</w:t>
      </w:r>
      <w:r w:rsidR="003E634B" w:rsidRPr="00F94FA9">
        <w:t>43</w:t>
      </w:r>
      <w:r w:rsidR="003E634B" w:rsidRPr="00AE41E9">
        <w:rPr>
          <w:vertAlign w:val="superscript"/>
        </w:rPr>
        <w:t xml:space="preserve">-/- </w:t>
      </w:r>
      <w:r w:rsidR="003E634B" w:rsidRPr="00F94FA9">
        <w:t>mice.</w:t>
      </w:r>
      <w:r w:rsidR="0026428F" w:rsidRPr="00F94FA9">
        <w:t xml:space="preserve"> </w:t>
      </w:r>
      <w:r w:rsidR="003E634B" w:rsidRPr="00F94FA9">
        <w:t xml:space="preserve"> The knockout mice were obese</w:t>
      </w:r>
      <w:r w:rsidR="00BC7FA3">
        <w:t>,</w:t>
      </w:r>
      <w:r w:rsidR="003E634B" w:rsidRPr="00F94FA9">
        <w:t xml:space="preserve"> </w:t>
      </w:r>
      <w:r w:rsidR="00405D2F" w:rsidRPr="00F94FA9">
        <w:t>and</w:t>
      </w:r>
      <w:r w:rsidR="003E634B" w:rsidRPr="00F94FA9">
        <w:t xml:space="preserve"> the wild type were lean. Activation of the receptor was found to decrease insulin sensitivity and fat accumulation in adipocyte</w:t>
      </w:r>
      <w:r w:rsidR="00920897" w:rsidRPr="00F94FA9">
        <w:t>s</w:t>
      </w:r>
      <w:r w:rsidR="003E634B" w:rsidRPr="00F94FA9">
        <w:t xml:space="preserve"> from white,</w:t>
      </w:r>
      <w:r w:rsidR="000F5254" w:rsidRPr="00F94FA9">
        <w:t xml:space="preserve"> </w:t>
      </w:r>
      <w:r w:rsidR="00FA71F5" w:rsidRPr="00F94FA9">
        <w:t xml:space="preserve">but </w:t>
      </w:r>
      <w:r w:rsidR="003E634B" w:rsidRPr="00F94FA9">
        <w:t>not brown</w:t>
      </w:r>
      <w:r w:rsidR="00FA71F5" w:rsidRPr="00F94FA9">
        <w:t>,</w:t>
      </w:r>
      <w:r w:rsidR="003E634B" w:rsidRPr="00F94FA9">
        <w:t xml:space="preserve"> adipose tissue, and increase insulin sensitivity in muscle and liver. </w:t>
      </w:r>
      <w:r w:rsidR="000F5254" w:rsidRPr="00F94FA9">
        <w:t xml:space="preserve">Acetate was found to suppress insulin-induced glucose and fatty acid uptake in adipocytes from wild-type but not </w:t>
      </w:r>
      <w:r w:rsidR="000F5254" w:rsidRPr="00AE41E9">
        <w:rPr>
          <w:i/>
        </w:rPr>
        <w:t>Gpr</w:t>
      </w:r>
      <w:r w:rsidR="000F5254" w:rsidRPr="00F94FA9">
        <w:t>43</w:t>
      </w:r>
      <w:r w:rsidR="000F5254" w:rsidRPr="00AE41E9">
        <w:rPr>
          <w:vertAlign w:val="superscript"/>
        </w:rPr>
        <w:t xml:space="preserve">-/- </w:t>
      </w:r>
      <w:r w:rsidR="000F5254" w:rsidRPr="00F94FA9">
        <w:t>mice</w:t>
      </w:r>
      <w:r w:rsidR="000642CB">
        <w:t>.</w:t>
      </w:r>
      <w:r w:rsidR="00164C60" w:rsidRPr="00F94FA9">
        <w:t xml:space="preserve"> </w:t>
      </w:r>
      <w:r w:rsidR="000F5254" w:rsidRPr="00F94FA9">
        <w:t xml:space="preserve">Acetate moreover promoted phosphorylation of PTEN, a known downstream </w:t>
      </w:r>
      <w:r w:rsidR="00CE0C4A" w:rsidRPr="00F94FA9">
        <w:t>effector of GPR43, which blocks the insulin receptor cascade</w:t>
      </w:r>
      <w:r w:rsidR="00574F14" w:rsidRPr="00F94FA9">
        <w:t xml:space="preserve"> by dephosphorylating PIP</w:t>
      </w:r>
      <w:r w:rsidR="00574F14" w:rsidRPr="00AE41E9">
        <w:rPr>
          <w:vertAlign w:val="subscript"/>
        </w:rPr>
        <w:t>3</w:t>
      </w:r>
      <w:r w:rsidR="00CE0C4A" w:rsidRPr="00F94FA9">
        <w:t>. Thus</w:t>
      </w:r>
      <w:r w:rsidR="00D2523E" w:rsidRPr="00F94FA9">
        <w:t>,</w:t>
      </w:r>
      <w:r w:rsidR="00CE0C4A" w:rsidRPr="00F94FA9">
        <w:t xml:space="preserve"> acetate suppress</w:t>
      </w:r>
      <w:r w:rsidR="00BC7FA3">
        <w:t>ed</w:t>
      </w:r>
      <w:r w:rsidR="00CE0C4A" w:rsidRPr="00F94FA9">
        <w:t xml:space="preserve"> the effect of insulin </w:t>
      </w:r>
      <w:r w:rsidR="00164C60" w:rsidRPr="00F94FA9">
        <w:t xml:space="preserve">in adipose cells without directly affecting insulin receptors. The increase in insulin sensitivity in other tissues was thought to </w:t>
      </w:r>
      <w:r w:rsidR="001F015B" w:rsidRPr="00F94FA9">
        <w:t>result from</w:t>
      </w:r>
      <w:r w:rsidR="00164C60" w:rsidRPr="00F94FA9">
        <w:t xml:space="preserve"> GPR43 activity increasing glucose uptake.</w:t>
      </w:r>
    </w:p>
    <w:p w:rsidR="00AE41E9" w:rsidRDefault="00AE41E9" w:rsidP="00F40887">
      <w:pPr>
        <w:pStyle w:val="ListParagraph"/>
      </w:pPr>
    </w:p>
    <w:p w:rsidR="00164C60" w:rsidRDefault="00BC5AF9" w:rsidP="00F40887">
      <w:pPr>
        <w:pStyle w:val="ListParagraph"/>
        <w:numPr>
          <w:ilvl w:val="2"/>
          <w:numId w:val="1"/>
        </w:numPr>
        <w:tabs>
          <w:tab w:val="left" w:pos="0"/>
        </w:tabs>
        <w:spacing w:before="240" w:line="240" w:lineRule="auto"/>
        <w:ind w:left="0" w:firstLine="0"/>
      </w:pPr>
      <w:r w:rsidRPr="00F94FA9">
        <w:t>Oleskin and Shenderov (2016) briefly reviewed observed effects of SCFAs on host neurotransmitter function. Propionate and butyrate appear</w:t>
      </w:r>
      <w:r w:rsidR="0043057E" w:rsidRPr="00F94FA9">
        <w:t>ed</w:t>
      </w:r>
      <w:r w:rsidRPr="00F94FA9">
        <w:t xml:space="preserve"> to regulate expression of the gene for tryptophan hydroxylase, the rate-limiting step in serotonin synthesis</w:t>
      </w:r>
      <w:r w:rsidR="00E379BC" w:rsidRPr="00F94FA9">
        <w:t>,</w:t>
      </w:r>
      <w:r w:rsidRPr="00F94FA9">
        <w:t xml:space="preserve"> and decrease the activity of histone deacetylases, which </w:t>
      </w:r>
      <w:r w:rsidR="005F78FA">
        <w:t xml:space="preserve">appears </w:t>
      </w:r>
      <w:r w:rsidRPr="00F94FA9">
        <w:t>to i</w:t>
      </w:r>
      <w:r w:rsidR="005D5BA6" w:rsidRPr="00F94FA9">
        <w:t>m</w:t>
      </w:r>
      <w:r w:rsidRPr="00F94FA9">
        <w:t>prove various neurological conditions, such as Parkinson’s disease</w:t>
      </w:r>
      <w:r w:rsidR="00E446DB" w:rsidRPr="00F94FA9">
        <w:t>, depression and schizophrenia.</w:t>
      </w:r>
      <w:r w:rsidR="00335AB2">
        <w:t xml:space="preserve"> Hoyles </w:t>
      </w:r>
      <w:r w:rsidR="00335AB2" w:rsidRPr="00AE41E9">
        <w:rPr>
          <w:i/>
          <w:iCs/>
        </w:rPr>
        <w:t xml:space="preserve">et al </w:t>
      </w:r>
      <w:r w:rsidR="00335AB2">
        <w:t>(2018)</w:t>
      </w:r>
      <w:r w:rsidR="00E446DB" w:rsidRPr="00F94FA9">
        <w:t xml:space="preserve"> </w:t>
      </w:r>
      <w:r w:rsidR="005F78FA">
        <w:t xml:space="preserve">reported </w:t>
      </w:r>
      <w:r w:rsidR="00EC2E8C">
        <w:t>that physiological concentrations of propionate had a protective effect on the permeability of the blood brain barrier against bacterial lipopolysaccharide as seen in an</w:t>
      </w:r>
      <w:r w:rsidR="00EC2E8C" w:rsidRPr="00AE41E9">
        <w:rPr>
          <w:i/>
          <w:iCs/>
        </w:rPr>
        <w:t xml:space="preserve"> in vitro</w:t>
      </w:r>
      <w:r w:rsidR="00EC2E8C">
        <w:t xml:space="preserve"> model system. The mechanism appeared to be downregulation of expression of the protein CD14, an accessory protein involved in the LPS activation of proinflammatory Toll-like receptors. </w:t>
      </w:r>
      <w:r w:rsidR="00E446DB" w:rsidRPr="00EC2E8C">
        <w:t>Such</w:t>
      </w:r>
      <w:r w:rsidR="00E446DB" w:rsidRPr="00F94FA9">
        <w:t xml:space="preserve"> beneficial actions of SCFAs </w:t>
      </w:r>
      <w:r w:rsidR="000642CB">
        <w:t>appear to be</w:t>
      </w:r>
      <w:r w:rsidR="000642CB" w:rsidRPr="00F94FA9">
        <w:t xml:space="preserve"> </w:t>
      </w:r>
      <w:r w:rsidR="00E446DB" w:rsidRPr="00F94FA9">
        <w:t>concentration-</w:t>
      </w:r>
      <w:r w:rsidR="000642CB">
        <w:t>limited</w:t>
      </w:r>
      <w:r w:rsidR="000642CB" w:rsidRPr="00F94FA9">
        <w:t xml:space="preserve"> </w:t>
      </w:r>
      <w:r w:rsidR="00E446DB" w:rsidRPr="00F94FA9">
        <w:t>since high concentrations, especially of propionate, ha</w:t>
      </w:r>
      <w:r w:rsidR="0043057E" w:rsidRPr="00F94FA9">
        <w:t>d</w:t>
      </w:r>
      <w:r w:rsidR="00E446DB" w:rsidRPr="00F94FA9">
        <w:t xml:space="preserve"> been associated with the expression of autism-related genes.</w:t>
      </w:r>
    </w:p>
    <w:p w:rsidR="00AE41E9" w:rsidRDefault="00AE41E9" w:rsidP="00F40887">
      <w:pPr>
        <w:pStyle w:val="ListParagraph"/>
      </w:pPr>
    </w:p>
    <w:p w:rsidR="0048611B" w:rsidRDefault="00432C6B" w:rsidP="00F40887">
      <w:pPr>
        <w:pStyle w:val="ListParagraph"/>
        <w:numPr>
          <w:ilvl w:val="2"/>
          <w:numId w:val="1"/>
        </w:numPr>
        <w:tabs>
          <w:tab w:val="left" w:pos="0"/>
        </w:tabs>
        <w:spacing w:before="240" w:line="240" w:lineRule="auto"/>
        <w:ind w:left="0" w:firstLine="0"/>
      </w:pPr>
      <w:r w:rsidRPr="00F94FA9">
        <w:t xml:space="preserve">Acetate has also been found to mediate </w:t>
      </w:r>
      <w:r w:rsidR="00065F55" w:rsidRPr="00F94FA9">
        <w:t xml:space="preserve">intestinal IgA release via activation of GRP43 receptors. This effect was not mimicked by butyrate and was independent of T cells. </w:t>
      </w:r>
      <w:r w:rsidR="000642CB">
        <w:t xml:space="preserve">The promotion of </w:t>
      </w:r>
      <w:r w:rsidR="00065F55" w:rsidRPr="00F94FA9">
        <w:t xml:space="preserve">IgA production </w:t>
      </w:r>
      <w:r w:rsidR="000642CB">
        <w:t xml:space="preserve">by acetate was not through </w:t>
      </w:r>
      <w:r w:rsidR="00065F55" w:rsidRPr="00F94FA9">
        <w:t>direct stimulati</w:t>
      </w:r>
      <w:r w:rsidR="000642CB">
        <w:t>o</w:t>
      </w:r>
      <w:r w:rsidR="00065F55" w:rsidRPr="00F94FA9">
        <w:t xml:space="preserve">n </w:t>
      </w:r>
      <w:r w:rsidR="000642CB">
        <w:t xml:space="preserve">of </w:t>
      </w:r>
      <w:r w:rsidR="00065F55" w:rsidRPr="00F94FA9">
        <w:t xml:space="preserve">B cells but </w:t>
      </w:r>
      <w:r w:rsidR="000642CB">
        <w:t xml:space="preserve">rather </w:t>
      </w:r>
      <w:r w:rsidR="00065F55" w:rsidRPr="00F94FA9">
        <w:t xml:space="preserve">by </w:t>
      </w:r>
      <w:r w:rsidR="00C762D7" w:rsidRPr="00F94FA9">
        <w:t>activati</w:t>
      </w:r>
      <w:r w:rsidR="000642CB">
        <w:t>o</w:t>
      </w:r>
      <w:r w:rsidR="00C762D7" w:rsidRPr="00F94FA9">
        <w:t xml:space="preserve">n </w:t>
      </w:r>
      <w:r w:rsidR="000642CB">
        <w:t xml:space="preserve">of </w:t>
      </w:r>
      <w:r w:rsidR="00C762D7" w:rsidRPr="00F94FA9">
        <w:t>retinoic acid production of regulatory dendritic cells, which then induced B cells to produce IgA.</w:t>
      </w:r>
    </w:p>
    <w:p w:rsidR="00AE41E9" w:rsidRDefault="00AE41E9" w:rsidP="00F40887">
      <w:pPr>
        <w:pStyle w:val="ListParagraph"/>
      </w:pPr>
    </w:p>
    <w:p w:rsidR="008E6925" w:rsidRPr="005100CB" w:rsidRDefault="008E6925" w:rsidP="00F40887">
      <w:pPr>
        <w:pStyle w:val="ListParagraph"/>
        <w:numPr>
          <w:ilvl w:val="2"/>
          <w:numId w:val="1"/>
        </w:numPr>
        <w:tabs>
          <w:tab w:val="left" w:pos="0"/>
        </w:tabs>
        <w:spacing w:before="240" w:line="240" w:lineRule="auto"/>
        <w:ind w:left="0" w:firstLine="0"/>
      </w:pPr>
      <w:r w:rsidRPr="00F94FA9">
        <w:t>Morrison and Preston (2016) reviewed recent evidence for the influence of acetate, propionate and butyrate on gut integrity, glucose homeostasis, lipid metabolism, appetite regulation and immune function. They concluded that “</w:t>
      </w:r>
      <w:r w:rsidRPr="00AE41E9">
        <w:rPr>
          <w:shd w:val="clear" w:color="auto" w:fill="FFFFFF"/>
        </w:rPr>
        <w:t>The multifaceted roles of SCFA</w:t>
      </w:r>
      <w:r w:rsidR="000642CB">
        <w:rPr>
          <w:shd w:val="clear" w:color="auto" w:fill="FFFFFF"/>
        </w:rPr>
        <w:t>s</w:t>
      </w:r>
      <w:r w:rsidRPr="00AE41E9">
        <w:rPr>
          <w:shd w:val="clear" w:color="auto" w:fill="FFFFFF"/>
        </w:rPr>
        <w:t xml:space="preserve"> suggest that they may play an important role over the life-course in protecting the body against deteriorating metabolic control and inflammatory status associated with Western lifestyles</w:t>
      </w:r>
      <w:r w:rsidR="003C5F25" w:rsidRPr="00AE41E9">
        <w:rPr>
          <w:shd w:val="clear" w:color="auto" w:fill="FFFFFF"/>
        </w:rPr>
        <w:t>”</w:t>
      </w:r>
      <w:r w:rsidRPr="00AE41E9">
        <w:rPr>
          <w:shd w:val="clear" w:color="auto" w:fill="FFFFFF"/>
        </w:rPr>
        <w:t>. </w:t>
      </w:r>
    </w:p>
    <w:p w:rsidR="00B45C1A" w:rsidRDefault="00B45C1A" w:rsidP="00AF6349">
      <w:pPr>
        <w:pStyle w:val="ListParagraph"/>
      </w:pPr>
    </w:p>
    <w:p w:rsidR="00C762D7" w:rsidRDefault="00B45C1A" w:rsidP="00AF6349">
      <w:pPr>
        <w:pStyle w:val="ListParagraph"/>
        <w:numPr>
          <w:ilvl w:val="2"/>
          <w:numId w:val="1"/>
        </w:numPr>
        <w:tabs>
          <w:tab w:val="left" w:pos="0"/>
        </w:tabs>
        <w:spacing w:before="240" w:line="240" w:lineRule="auto"/>
        <w:ind w:left="0" w:firstLine="0"/>
      </w:pPr>
      <w:r w:rsidRPr="00735878">
        <w:t>SCFAs</w:t>
      </w:r>
      <w:r>
        <w:t xml:space="preserve"> appear to be present in the colon at </w:t>
      </w:r>
      <w:r w:rsidR="00AF7B2F">
        <w:t xml:space="preserve">diet-dependant </w:t>
      </w:r>
      <w:r>
        <w:t xml:space="preserve">concentrations in the millimolar range </w:t>
      </w:r>
      <w:r w:rsidR="00AF7B2F">
        <w:t xml:space="preserve">(den Besten </w:t>
      </w:r>
      <w:r w:rsidR="00AF7B2F" w:rsidRPr="000D259F">
        <w:rPr>
          <w:i/>
          <w:iCs/>
        </w:rPr>
        <w:t xml:space="preserve">et al, </w:t>
      </w:r>
      <w:r w:rsidR="00AF7B2F">
        <w:t xml:space="preserve">2013) </w:t>
      </w:r>
      <w:r>
        <w:t>and have been found to elicit different effects on gut immun</w:t>
      </w:r>
      <w:r w:rsidR="00735878">
        <w:t>ity</w:t>
      </w:r>
      <w:r>
        <w:t xml:space="preserve"> </w:t>
      </w:r>
      <w:r w:rsidR="00735878">
        <w:t xml:space="preserve">and other </w:t>
      </w:r>
      <w:r>
        <w:t>function</w:t>
      </w:r>
      <w:r w:rsidR="00735878">
        <w:t>s</w:t>
      </w:r>
      <w:r>
        <w:t xml:space="preserve"> at different concentrations, as noted above for propionate, and as has been found for butyrate (</w:t>
      </w:r>
      <w:r w:rsidR="00735878">
        <w:t xml:space="preserve">Kespohl </w:t>
      </w:r>
      <w:r w:rsidR="00735878" w:rsidRPr="000D259F">
        <w:rPr>
          <w:i/>
          <w:iCs/>
        </w:rPr>
        <w:t>et al</w:t>
      </w:r>
      <w:r w:rsidR="00735878">
        <w:t>, 2017)</w:t>
      </w:r>
      <w:r w:rsidR="005F78FA">
        <w:t>.</w:t>
      </w:r>
      <w:r w:rsidR="000D259F">
        <w:t xml:space="preserve"> </w:t>
      </w:r>
      <w:r w:rsidR="00C762D7" w:rsidRPr="00F94FA9">
        <w:t>SCFAs thus appear to be multifunctional effectors linking the metabolism of the gut microbiota to host physiology.</w:t>
      </w:r>
    </w:p>
    <w:p w:rsidR="00AE41E9" w:rsidRDefault="00AE41E9" w:rsidP="00F40887">
      <w:pPr>
        <w:pStyle w:val="ListParagraph"/>
      </w:pPr>
    </w:p>
    <w:p w:rsidR="00AE41E9" w:rsidRDefault="00AE41E9" w:rsidP="00F40887">
      <w:pPr>
        <w:pStyle w:val="ListParagraph"/>
        <w:tabs>
          <w:tab w:val="left" w:pos="0"/>
        </w:tabs>
        <w:spacing w:before="240" w:line="240" w:lineRule="auto"/>
        <w:ind w:left="0"/>
      </w:pPr>
      <w:r w:rsidRPr="00871E97">
        <w:rPr>
          <w:i/>
        </w:rPr>
        <w:t>Bile acids</w:t>
      </w:r>
    </w:p>
    <w:p w:rsidR="00AE41E9" w:rsidRDefault="00AE41E9" w:rsidP="00F40887">
      <w:pPr>
        <w:pStyle w:val="ListParagraph"/>
      </w:pPr>
    </w:p>
    <w:p w:rsidR="00A57A02" w:rsidRPr="00AE41E9" w:rsidRDefault="00A57A02" w:rsidP="00F40887">
      <w:pPr>
        <w:pStyle w:val="ListParagraph"/>
        <w:numPr>
          <w:ilvl w:val="2"/>
          <w:numId w:val="1"/>
        </w:numPr>
        <w:tabs>
          <w:tab w:val="left" w:pos="0"/>
        </w:tabs>
        <w:spacing w:before="240" w:line="240" w:lineRule="auto"/>
        <w:ind w:left="0" w:firstLine="0"/>
      </w:pPr>
      <w:r w:rsidRPr="00F94FA9">
        <w:t>The steroidal metabolites of cholesterol</w:t>
      </w:r>
      <w:r w:rsidR="006A3DD1">
        <w:t xml:space="preserve"> conjugated with glycine (in humans) or taurine (in rats)</w:t>
      </w:r>
      <w:r w:rsidRPr="00F94FA9">
        <w:t xml:space="preserve"> that are produced by the liver are primary bile acids. Primary bile acids are released into the lumen of the duodenum via the bile duct and act as lipid emulsifiers</w:t>
      </w:r>
      <w:r w:rsidR="00890B39" w:rsidRPr="00F94FA9">
        <w:t>,</w:t>
      </w:r>
      <w:r w:rsidRPr="00F94FA9">
        <w:t xml:space="preserve"> producing micelles around fats and promoting their uptake.  Conjugated bile acids are not reabsorbed by the small intestine but are excreted in the faeces</w:t>
      </w:r>
      <w:r w:rsidR="001F015B" w:rsidRPr="00F94FA9">
        <w:t>.</w:t>
      </w:r>
      <w:r w:rsidR="00FA1E6E" w:rsidRPr="00F94FA9">
        <w:t xml:space="preserve"> </w:t>
      </w:r>
      <w:r w:rsidR="001F015B" w:rsidRPr="00F94FA9">
        <w:t>T</w:t>
      </w:r>
      <w:r w:rsidRPr="00F94FA9">
        <w:t xml:space="preserve">he gut microbiota </w:t>
      </w:r>
      <w:r w:rsidR="009A0A7B" w:rsidRPr="00F94FA9">
        <w:t>are capable of deconjugation, regenerating free steroids that can undergo enterohepatic circulation. The metabolites of the primary bile acids produced by the microbiota are termed secondary bile acids</w:t>
      </w:r>
      <w:r w:rsidR="009A0A7B" w:rsidRPr="00AE41E9">
        <w:rPr>
          <w:szCs w:val="24"/>
        </w:rPr>
        <w:t xml:space="preserve">. </w:t>
      </w:r>
      <w:r w:rsidR="009A0A7B" w:rsidRPr="00AE41E9">
        <w:rPr>
          <w:rFonts w:cs="Arial"/>
          <w:szCs w:val="24"/>
          <w:shd w:val="clear" w:color="auto" w:fill="FFFFFF"/>
        </w:rPr>
        <w:t> </w:t>
      </w:r>
      <w:r w:rsidR="006B0A04" w:rsidRPr="00AE41E9">
        <w:rPr>
          <w:rFonts w:cs="Arial"/>
          <w:szCs w:val="24"/>
          <w:shd w:val="clear" w:color="auto" w:fill="FFFFFF"/>
        </w:rPr>
        <w:t xml:space="preserve">Bile acids </w:t>
      </w:r>
      <w:r w:rsidR="009A0A7B" w:rsidRPr="00AE41E9">
        <w:rPr>
          <w:rFonts w:cs="Arial"/>
          <w:szCs w:val="24"/>
          <w:shd w:val="clear" w:color="auto" w:fill="FFFFFF"/>
        </w:rPr>
        <w:t>have hormonal actions throughout the body, particularly through the farnesoid X and GPBAR1 (also known as TGR5)</w:t>
      </w:r>
      <w:r w:rsidR="009C1FDD" w:rsidRPr="00AE41E9">
        <w:rPr>
          <w:rFonts w:cs="Arial"/>
          <w:szCs w:val="24"/>
          <w:shd w:val="clear" w:color="auto" w:fill="FFFFFF"/>
        </w:rPr>
        <w:t xml:space="preserve"> receptors</w:t>
      </w:r>
      <w:r w:rsidR="009A0A7B" w:rsidRPr="00AE41E9">
        <w:rPr>
          <w:rFonts w:cs="Arial"/>
          <w:szCs w:val="24"/>
          <w:shd w:val="clear" w:color="auto" w:fill="FFFFFF"/>
        </w:rPr>
        <w:t>.</w:t>
      </w:r>
      <w:r w:rsidR="006B0A04" w:rsidRPr="00AE41E9">
        <w:rPr>
          <w:szCs w:val="24"/>
        </w:rPr>
        <w:t xml:space="preserve"> </w:t>
      </w:r>
    </w:p>
    <w:p w:rsidR="00AE41E9" w:rsidRDefault="00AE41E9" w:rsidP="00F40887">
      <w:pPr>
        <w:pStyle w:val="ListParagraph"/>
        <w:tabs>
          <w:tab w:val="left" w:pos="0"/>
        </w:tabs>
        <w:spacing w:before="240" w:line="240" w:lineRule="auto"/>
        <w:ind w:left="0"/>
        <w:rPr>
          <w:szCs w:val="24"/>
        </w:rPr>
      </w:pPr>
    </w:p>
    <w:p w:rsidR="00AE41E9" w:rsidRDefault="00AE41E9" w:rsidP="00F40887">
      <w:pPr>
        <w:pStyle w:val="ListParagraph"/>
        <w:tabs>
          <w:tab w:val="left" w:pos="0"/>
        </w:tabs>
        <w:spacing w:before="240" w:line="240" w:lineRule="auto"/>
        <w:ind w:left="0"/>
        <w:rPr>
          <w:i/>
        </w:rPr>
      </w:pPr>
      <w:r w:rsidRPr="00F94FA9">
        <w:rPr>
          <w:i/>
        </w:rPr>
        <w:t>Others</w:t>
      </w:r>
    </w:p>
    <w:p w:rsidR="00AE41E9" w:rsidRPr="00AE41E9" w:rsidRDefault="00AE41E9" w:rsidP="00F40887">
      <w:pPr>
        <w:pStyle w:val="ListParagraph"/>
        <w:tabs>
          <w:tab w:val="left" w:pos="0"/>
        </w:tabs>
        <w:spacing w:before="240" w:line="240" w:lineRule="auto"/>
        <w:ind w:left="0"/>
      </w:pPr>
    </w:p>
    <w:p w:rsidR="006363BF" w:rsidRDefault="00463554" w:rsidP="00F40887">
      <w:pPr>
        <w:pStyle w:val="ListParagraph"/>
        <w:numPr>
          <w:ilvl w:val="2"/>
          <w:numId w:val="1"/>
        </w:numPr>
        <w:tabs>
          <w:tab w:val="left" w:pos="0"/>
        </w:tabs>
        <w:spacing w:before="240" w:line="240" w:lineRule="auto"/>
        <w:ind w:left="0" w:firstLine="0"/>
      </w:pPr>
      <w:r w:rsidRPr="00F94FA9">
        <w:t xml:space="preserve">The gut microbiota </w:t>
      </w:r>
      <w:r w:rsidR="00056900">
        <w:t xml:space="preserve">can </w:t>
      </w:r>
      <w:r w:rsidRPr="00F94FA9">
        <w:t>synthesis</w:t>
      </w:r>
      <w:r w:rsidR="00056900">
        <w:t>e</w:t>
      </w:r>
      <w:r w:rsidRPr="00F94FA9">
        <w:t xml:space="preserve"> </w:t>
      </w:r>
      <w:r w:rsidR="00824C05" w:rsidRPr="00F94FA9">
        <w:t>B</w:t>
      </w:r>
      <w:r w:rsidRPr="00F94FA9">
        <w:t xml:space="preserve"> and K group vit</w:t>
      </w:r>
      <w:r w:rsidR="00824C05" w:rsidRPr="00F94FA9">
        <w:t>a</w:t>
      </w:r>
      <w:r w:rsidRPr="00F94FA9">
        <w:t xml:space="preserve">mins, </w:t>
      </w:r>
      <w:r w:rsidR="00824C05" w:rsidRPr="00F94FA9">
        <w:t xml:space="preserve">including biotin, cobalamin, folates, nicotinic acid, pantothenic acid, pyridoxine, riboflavin and thiamine. Antibiotic treatment affects plasma prothrombin levels in people on a low-vitamin K diet. The </w:t>
      </w:r>
      <w:r w:rsidR="00824C05" w:rsidRPr="00AE41E9">
        <w:rPr>
          <w:i/>
        </w:rPr>
        <w:t>Bacteroidetes, Fusobacteria</w:t>
      </w:r>
      <w:r w:rsidR="00824C05" w:rsidRPr="00F94FA9">
        <w:t xml:space="preserve"> and </w:t>
      </w:r>
      <w:r w:rsidR="00824C05" w:rsidRPr="00AE41E9">
        <w:rPr>
          <w:i/>
        </w:rPr>
        <w:t>Proteobacteria</w:t>
      </w:r>
      <w:r w:rsidR="00824C05" w:rsidRPr="00F94FA9">
        <w:t xml:space="preserve"> appear to mostly account for these pathways, with lesser involvement of the </w:t>
      </w:r>
      <w:r w:rsidR="00824C05" w:rsidRPr="00AE41E9">
        <w:rPr>
          <w:i/>
        </w:rPr>
        <w:t xml:space="preserve">Firmicutes </w:t>
      </w:r>
      <w:r w:rsidR="00824C05" w:rsidRPr="00F94FA9">
        <w:t xml:space="preserve">and the </w:t>
      </w:r>
      <w:r w:rsidR="00824C05" w:rsidRPr="00AE41E9">
        <w:rPr>
          <w:i/>
        </w:rPr>
        <w:t>Actinobacteria</w:t>
      </w:r>
      <w:r w:rsidR="00824C05" w:rsidRPr="00F94FA9">
        <w:t>.</w:t>
      </w:r>
    </w:p>
    <w:p w:rsidR="00AE41E9" w:rsidRDefault="00AE41E9" w:rsidP="00F40887">
      <w:pPr>
        <w:pStyle w:val="ListParagraph"/>
        <w:tabs>
          <w:tab w:val="left" w:pos="0"/>
        </w:tabs>
        <w:spacing w:before="240" w:line="240" w:lineRule="auto"/>
        <w:ind w:left="0"/>
      </w:pPr>
    </w:p>
    <w:p w:rsidR="006363BF" w:rsidRDefault="006363BF" w:rsidP="00F40887">
      <w:pPr>
        <w:pStyle w:val="ListParagraph"/>
        <w:numPr>
          <w:ilvl w:val="2"/>
          <w:numId w:val="1"/>
        </w:numPr>
        <w:tabs>
          <w:tab w:val="left" w:pos="0"/>
        </w:tabs>
        <w:spacing w:before="240" w:line="240" w:lineRule="auto"/>
        <w:ind w:left="0" w:firstLine="0"/>
      </w:pPr>
      <w:r w:rsidRPr="00F94FA9">
        <w:t>Roager and Licht (2018)</w:t>
      </w:r>
      <w:r w:rsidR="00DC7714" w:rsidRPr="00F94FA9">
        <w:t xml:space="preserve"> reviewed the effects of bacterial metabolites of the amino acid tryptophan, arising initially from protein degradation, on host health. Tryptophan undergoes metabolism by the microbiota by oxidation, decarboxylation, diacylation, and amino</w:t>
      </w:r>
      <w:r w:rsidR="00E379BC" w:rsidRPr="00F94FA9">
        <w:t xml:space="preserve"> </w:t>
      </w:r>
      <w:r w:rsidR="00DC7714" w:rsidRPr="00F94FA9">
        <w:t>transfer</w:t>
      </w:r>
      <w:r w:rsidR="00F24B85" w:rsidRPr="00F94FA9">
        <w:t>.</w:t>
      </w:r>
      <w:r w:rsidR="00DC7714" w:rsidRPr="00F94FA9">
        <w:t xml:space="preserve"> </w:t>
      </w:r>
      <w:r w:rsidR="00F24B85" w:rsidRPr="00F94FA9">
        <w:t>The</w:t>
      </w:r>
      <w:r w:rsidR="00DC7714" w:rsidRPr="00F94FA9">
        <w:t xml:space="preserve"> direct metabolites are processed further into products that act as signalling molecules (indole and 5HT), </w:t>
      </w:r>
      <w:r w:rsidR="003B7580" w:rsidRPr="00F94FA9">
        <w:t>a</w:t>
      </w:r>
      <w:r w:rsidR="00DC7714" w:rsidRPr="00F94FA9">
        <w:t xml:space="preserve">romatic </w:t>
      </w:r>
      <w:r w:rsidR="003B7580" w:rsidRPr="00F94FA9">
        <w:t>h</w:t>
      </w:r>
      <w:r w:rsidR="00DC7714" w:rsidRPr="00F94FA9">
        <w:t xml:space="preserve">ydrocarbon </w:t>
      </w:r>
      <w:r w:rsidR="003B7580" w:rsidRPr="00F94FA9">
        <w:t>r</w:t>
      </w:r>
      <w:r w:rsidR="00DC7714" w:rsidRPr="00F94FA9">
        <w:t>eceptor</w:t>
      </w:r>
      <w:r w:rsidR="00F24B85" w:rsidRPr="00F94FA9">
        <w:t xml:space="preserve"> </w:t>
      </w:r>
      <w:r w:rsidR="00056900">
        <w:t xml:space="preserve">(AhR) </w:t>
      </w:r>
      <w:r w:rsidR="00F24B85" w:rsidRPr="00F94FA9">
        <w:t>ligands and effectors in inflammatory bowel disease.</w:t>
      </w:r>
    </w:p>
    <w:p w:rsidR="00AE41E9" w:rsidRDefault="00AE41E9" w:rsidP="00F40887">
      <w:pPr>
        <w:pStyle w:val="ListParagraph"/>
      </w:pPr>
    </w:p>
    <w:p w:rsidR="00004CA5" w:rsidRDefault="00EA5A47" w:rsidP="00004CA5">
      <w:pPr>
        <w:pStyle w:val="ListParagraph"/>
        <w:numPr>
          <w:ilvl w:val="2"/>
          <w:numId w:val="1"/>
        </w:numPr>
        <w:tabs>
          <w:tab w:val="left" w:pos="0"/>
        </w:tabs>
        <w:spacing w:before="240" w:line="240" w:lineRule="auto"/>
        <w:ind w:left="0" w:firstLine="0"/>
      </w:pPr>
      <w:r w:rsidRPr="00F94FA9">
        <w:t xml:space="preserve">Anaerobic choline metabolism by the microbiota produces trimethylamine (TMA), acetate and ethanol. Dysbiosis leading to aberrant choline metabolism has been proposed as </w:t>
      </w:r>
      <w:r w:rsidR="00056900">
        <w:t xml:space="preserve">a </w:t>
      </w:r>
      <w:r w:rsidRPr="00F94FA9">
        <w:t xml:space="preserve">potential contributing factor in non-alcoholic fatty liver disease, and increased TMA in </w:t>
      </w:r>
      <w:r w:rsidR="00056900">
        <w:t xml:space="preserve">the </w:t>
      </w:r>
      <w:r w:rsidRPr="00F94FA9">
        <w:t xml:space="preserve">circulation has been </w:t>
      </w:r>
      <w:r w:rsidR="003B7580" w:rsidRPr="00F94FA9">
        <w:t>mooted</w:t>
      </w:r>
      <w:r w:rsidRPr="00F94FA9">
        <w:t xml:space="preserve"> as a risk factor for cardiovascular disease and colon cancer. The choline utilization (</w:t>
      </w:r>
      <w:r w:rsidRPr="003738AC">
        <w:rPr>
          <w:i/>
          <w:iCs/>
        </w:rPr>
        <w:t>cut</w:t>
      </w:r>
      <w:r w:rsidRPr="00F94FA9">
        <w:t>) gene cluster in sul</w:t>
      </w:r>
      <w:r w:rsidR="00056900">
        <w:t>f</w:t>
      </w:r>
      <w:r w:rsidRPr="00F94FA9">
        <w:t xml:space="preserve">ate reducing bacteria is thought to be responsible for this pathway. This gene cluster in human gut bacteria encoding TMA-lyase (cutC) </w:t>
      </w:r>
      <w:r w:rsidR="00827113" w:rsidRPr="00F94FA9">
        <w:t>i</w:t>
      </w:r>
      <w:r w:rsidRPr="00F94FA9">
        <w:t xml:space="preserve">s widely distributed across different phyla, </w:t>
      </w:r>
      <w:r w:rsidR="003A19F6">
        <w:t>and</w:t>
      </w:r>
      <w:r w:rsidRPr="00F94FA9">
        <w:t xml:space="preserve"> the pathway may</w:t>
      </w:r>
      <w:r w:rsidR="00827113" w:rsidRPr="00F94FA9">
        <w:t xml:space="preserve"> </w:t>
      </w:r>
      <w:r w:rsidRPr="00F94FA9">
        <w:t>also have been acquired in some strains via horizontal gene transfer</w:t>
      </w:r>
      <w:r w:rsidR="00D239EE" w:rsidRPr="00F94FA9">
        <w:t xml:space="preserve"> (Krishnan </w:t>
      </w:r>
      <w:r w:rsidR="00D239EE" w:rsidRPr="00AE41E9">
        <w:rPr>
          <w:i/>
        </w:rPr>
        <w:t xml:space="preserve">et al, </w:t>
      </w:r>
      <w:r w:rsidR="00D239EE" w:rsidRPr="00F94FA9">
        <w:t>2015)</w:t>
      </w:r>
      <w:r w:rsidR="008E01D7" w:rsidRPr="00F94FA9">
        <w:t>.</w:t>
      </w:r>
    </w:p>
    <w:p w:rsidR="00004CA5" w:rsidRDefault="00004CA5" w:rsidP="00004CA5">
      <w:pPr>
        <w:pStyle w:val="ListParagraph"/>
      </w:pPr>
    </w:p>
    <w:p w:rsidR="00004CA5" w:rsidRDefault="00004CA5" w:rsidP="00004CA5">
      <w:pPr>
        <w:pStyle w:val="ListParagraph"/>
        <w:tabs>
          <w:tab w:val="left" w:pos="0"/>
        </w:tabs>
        <w:spacing w:before="240" w:line="240" w:lineRule="auto"/>
        <w:ind w:left="0"/>
      </w:pPr>
    </w:p>
    <w:p w:rsidR="00004CA5" w:rsidRPr="00AE41E9" w:rsidRDefault="00004CA5" w:rsidP="00004CA5">
      <w:pPr>
        <w:rPr>
          <w:u w:val="single"/>
        </w:rPr>
      </w:pPr>
      <w:r w:rsidRPr="00AE41E9">
        <w:rPr>
          <w:u w:val="single"/>
        </w:rPr>
        <w:t>Prebiotics and probiotics</w:t>
      </w:r>
    </w:p>
    <w:p w:rsidR="00004CA5" w:rsidRDefault="00004CA5" w:rsidP="00004CA5">
      <w:pPr>
        <w:pStyle w:val="ListParagraph"/>
      </w:pPr>
    </w:p>
    <w:p w:rsidR="009831FD" w:rsidRDefault="00EE4478" w:rsidP="009831FD">
      <w:pPr>
        <w:pStyle w:val="ListParagraph"/>
        <w:numPr>
          <w:ilvl w:val="2"/>
          <w:numId w:val="1"/>
        </w:numPr>
        <w:tabs>
          <w:tab w:val="left" w:pos="0"/>
        </w:tabs>
        <w:spacing w:before="240" w:line="240" w:lineRule="auto"/>
        <w:ind w:left="0" w:firstLine="0"/>
      </w:pPr>
      <w:r w:rsidRPr="00F94FA9">
        <w:t xml:space="preserve">Prebiotics are foods or components in foods that are </w:t>
      </w:r>
      <w:r w:rsidR="0038427E">
        <w:t>intended</w:t>
      </w:r>
      <w:r w:rsidR="0038427E" w:rsidRPr="00F94FA9">
        <w:t xml:space="preserve"> </w:t>
      </w:r>
      <w:r w:rsidRPr="00F94FA9">
        <w:t>to act as substrates for “beneficial” bacteria, those that maintain the healthy functioning of the gut epithelium and restrict the growth of pathogenic species</w:t>
      </w:r>
      <w:r w:rsidR="00897904" w:rsidRPr="00F94FA9">
        <w:t xml:space="preserve">. Examples are inulin and </w:t>
      </w:r>
      <w:r w:rsidR="00D92C74" w:rsidRPr="00F94FA9">
        <w:t>oligofructose. Effects on the host resulting from the consumption of these substances appear to be reduction in blood very-low-density lipoprotein (VLDL), triglycerides and total cholesterol</w:t>
      </w:r>
      <w:r w:rsidR="0066156D" w:rsidRPr="00F94FA9">
        <w:t>, reduction in gut inflammation and possibly protection against colorectal cancer</w:t>
      </w:r>
      <w:r w:rsidR="00A23E2D" w:rsidRPr="00F94FA9">
        <w:t xml:space="preserve"> </w:t>
      </w:r>
      <w:r w:rsidR="0066156D" w:rsidRPr="00F94FA9">
        <w:t>(Markowiak and Slizewska 2017)</w:t>
      </w:r>
      <w:r w:rsidR="000872A3" w:rsidRPr="00F94FA9">
        <w:t>.</w:t>
      </w:r>
    </w:p>
    <w:p w:rsidR="00004CA5" w:rsidRDefault="00004CA5" w:rsidP="00004CA5">
      <w:pPr>
        <w:pStyle w:val="ListParagraph"/>
        <w:tabs>
          <w:tab w:val="left" w:pos="0"/>
        </w:tabs>
        <w:spacing w:before="240" w:line="240" w:lineRule="auto"/>
        <w:ind w:left="0"/>
      </w:pPr>
    </w:p>
    <w:p w:rsidR="009424D2" w:rsidRPr="00004CA5" w:rsidRDefault="004F4027" w:rsidP="00AF6349">
      <w:pPr>
        <w:pStyle w:val="ListParagraph"/>
        <w:numPr>
          <w:ilvl w:val="2"/>
          <w:numId w:val="1"/>
        </w:numPr>
        <w:tabs>
          <w:tab w:val="left" w:pos="0"/>
        </w:tabs>
        <w:spacing w:before="240" w:line="240" w:lineRule="auto"/>
        <w:ind w:left="0" w:firstLine="0"/>
      </w:pPr>
      <w:r>
        <w:t>Some processed foods such as breakfast cereals may not be naturally high in insoluble fibre and so may be supplement</w:t>
      </w:r>
      <w:r w:rsidR="000D259F">
        <w:t>ed</w:t>
      </w:r>
      <w:r>
        <w:t xml:space="preserve"> by the manufacturer with fibrous material from other sources.</w:t>
      </w:r>
      <w:r w:rsidR="00AD1D9D">
        <w:t xml:space="preserve"> </w:t>
      </w:r>
      <w:r w:rsidR="00A30D47">
        <w:t>Gamage</w:t>
      </w:r>
      <w:r w:rsidR="00AD1D9D">
        <w:t xml:space="preserve"> </w:t>
      </w:r>
      <w:r w:rsidR="00AD1D9D" w:rsidRPr="00004CA5">
        <w:rPr>
          <w:i/>
          <w:iCs/>
        </w:rPr>
        <w:t>et al</w:t>
      </w:r>
      <w:r w:rsidR="00AD1D9D">
        <w:t xml:space="preserve"> (2018) </w:t>
      </w:r>
      <w:r w:rsidR="00AD1D9D" w:rsidRPr="00004CA5">
        <w:rPr>
          <w:rFonts w:cs="Arial"/>
          <w:szCs w:val="24"/>
        </w:rPr>
        <w:t>investigated three commercially available fib</w:t>
      </w:r>
      <w:r w:rsidR="00E939C9" w:rsidRPr="00004CA5">
        <w:rPr>
          <w:rFonts w:cs="Arial"/>
          <w:szCs w:val="24"/>
        </w:rPr>
        <w:t>re</w:t>
      </w:r>
      <w:r w:rsidR="00AD1D9D" w:rsidRPr="00004CA5">
        <w:rPr>
          <w:rFonts w:cs="Arial"/>
          <w:szCs w:val="24"/>
        </w:rPr>
        <w:t xml:space="preserve"> products in the Australian market, namely, </w:t>
      </w:r>
      <w:r w:rsidR="00E939C9" w:rsidRPr="00004CA5">
        <w:rPr>
          <w:rFonts w:cs="Arial"/>
          <w:szCs w:val="24"/>
        </w:rPr>
        <w:t>s</w:t>
      </w:r>
      <w:r w:rsidR="00BF6376" w:rsidRPr="00004CA5">
        <w:rPr>
          <w:rFonts w:cs="Arial"/>
          <w:szCs w:val="24"/>
        </w:rPr>
        <w:t>u</w:t>
      </w:r>
      <w:r w:rsidR="00937F17" w:rsidRPr="00004CA5">
        <w:rPr>
          <w:rFonts w:cs="Arial"/>
          <w:szCs w:val="24"/>
        </w:rPr>
        <w:t xml:space="preserve">garcane </w:t>
      </w:r>
      <w:r w:rsidR="00E939C9" w:rsidRPr="00004CA5">
        <w:rPr>
          <w:rFonts w:cs="Arial"/>
          <w:szCs w:val="24"/>
        </w:rPr>
        <w:t>s</w:t>
      </w:r>
      <w:r w:rsidR="00937F17" w:rsidRPr="00004CA5">
        <w:rPr>
          <w:rFonts w:cs="Arial"/>
          <w:szCs w:val="24"/>
        </w:rPr>
        <w:t xml:space="preserve">tem, </w:t>
      </w:r>
      <w:r w:rsidR="00E939C9" w:rsidRPr="00004CA5">
        <w:rPr>
          <w:rFonts w:cs="Arial"/>
          <w:szCs w:val="24"/>
        </w:rPr>
        <w:t>w</w:t>
      </w:r>
      <w:r w:rsidR="00937F17" w:rsidRPr="00004CA5">
        <w:rPr>
          <w:rFonts w:cs="Arial"/>
          <w:szCs w:val="24"/>
        </w:rPr>
        <w:t xml:space="preserve">heat </w:t>
      </w:r>
      <w:r w:rsidR="00E939C9" w:rsidRPr="00004CA5">
        <w:rPr>
          <w:rFonts w:cs="Arial"/>
          <w:szCs w:val="24"/>
        </w:rPr>
        <w:t>d</w:t>
      </w:r>
      <w:r w:rsidR="00937F17" w:rsidRPr="00004CA5">
        <w:rPr>
          <w:rFonts w:cs="Arial"/>
          <w:szCs w:val="24"/>
        </w:rPr>
        <w:t>extrin an</w:t>
      </w:r>
      <w:r w:rsidR="00E939C9" w:rsidRPr="00004CA5">
        <w:rPr>
          <w:rFonts w:cs="Arial"/>
          <w:szCs w:val="24"/>
        </w:rPr>
        <w:t xml:space="preserve">d </w:t>
      </w:r>
      <w:r w:rsidR="00937F17" w:rsidRPr="00004CA5">
        <w:rPr>
          <w:rFonts w:cs="Arial"/>
          <w:szCs w:val="24"/>
        </w:rPr>
        <w:t xml:space="preserve">Psyllium </w:t>
      </w:r>
      <w:r w:rsidR="00E939C9" w:rsidRPr="00004CA5">
        <w:rPr>
          <w:rFonts w:cs="Arial"/>
          <w:szCs w:val="24"/>
        </w:rPr>
        <w:t>h</w:t>
      </w:r>
      <w:r w:rsidR="00937F17" w:rsidRPr="00004CA5">
        <w:rPr>
          <w:rFonts w:cs="Arial"/>
          <w:szCs w:val="24"/>
        </w:rPr>
        <w:t>usk</w:t>
      </w:r>
      <w:r w:rsidR="00CE3D56" w:rsidRPr="00004CA5">
        <w:rPr>
          <w:rFonts w:cs="Arial"/>
          <w:szCs w:val="24"/>
        </w:rPr>
        <w:t xml:space="preserve">. </w:t>
      </w:r>
      <w:r w:rsidR="00703421" w:rsidRPr="00004CA5">
        <w:rPr>
          <w:rFonts w:cs="Arial"/>
          <w:szCs w:val="24"/>
        </w:rPr>
        <w:t>Suga</w:t>
      </w:r>
      <w:r w:rsidR="008709E4" w:rsidRPr="00004CA5">
        <w:rPr>
          <w:rFonts w:cs="Arial"/>
          <w:szCs w:val="24"/>
        </w:rPr>
        <w:t>r</w:t>
      </w:r>
      <w:r w:rsidR="00703421" w:rsidRPr="00004CA5">
        <w:rPr>
          <w:rFonts w:cs="Arial"/>
          <w:szCs w:val="24"/>
        </w:rPr>
        <w:t>cane stem contained the highest amount of lignin and xylose</w:t>
      </w:r>
      <w:r w:rsidR="009831FD" w:rsidRPr="00004CA5">
        <w:rPr>
          <w:rFonts w:cs="Arial"/>
          <w:szCs w:val="24"/>
        </w:rPr>
        <w:t>,</w:t>
      </w:r>
      <w:r w:rsidR="00703421" w:rsidRPr="00004CA5">
        <w:rPr>
          <w:rFonts w:cs="Arial"/>
          <w:szCs w:val="24"/>
        </w:rPr>
        <w:t xml:space="preserve"> while wheat dextrin had the highest amounts of mannose and glucose, and Psyllium husk contained the highest amount of arabinose.</w:t>
      </w:r>
      <w:r w:rsidR="00CE3D56" w:rsidRPr="00004CA5">
        <w:rPr>
          <w:rFonts w:cs="Arial"/>
          <w:szCs w:val="24"/>
        </w:rPr>
        <w:t xml:space="preserve"> </w:t>
      </w:r>
      <w:r w:rsidR="00E939C9" w:rsidRPr="00004CA5">
        <w:rPr>
          <w:rFonts w:cs="Arial"/>
          <w:szCs w:val="24"/>
        </w:rPr>
        <w:t>Each product was subjected to a series of pH</w:t>
      </w:r>
      <w:r w:rsidR="00BF6376" w:rsidRPr="00004CA5">
        <w:rPr>
          <w:rFonts w:cs="Arial"/>
          <w:szCs w:val="24"/>
        </w:rPr>
        <w:t>-</w:t>
      </w:r>
      <w:r w:rsidR="00E939C9" w:rsidRPr="00004CA5">
        <w:rPr>
          <w:rFonts w:cs="Arial"/>
          <w:szCs w:val="24"/>
        </w:rPr>
        <w:t xml:space="preserve">controlled enzyme treatments to simulate human digestion, and the effect of each on the human gut microbiota was examined in an </w:t>
      </w:r>
      <w:r w:rsidR="00E939C9" w:rsidRPr="00004CA5">
        <w:rPr>
          <w:rFonts w:cs="Arial"/>
          <w:i/>
          <w:iCs/>
          <w:szCs w:val="24"/>
        </w:rPr>
        <w:t>in vitro</w:t>
      </w:r>
      <w:r w:rsidR="00E939C9" w:rsidRPr="00004CA5">
        <w:rPr>
          <w:rFonts w:cs="Arial"/>
          <w:szCs w:val="24"/>
        </w:rPr>
        <w:t xml:space="preserve"> system with an anaerobic medium, </w:t>
      </w:r>
      <w:r w:rsidR="00812BB7" w:rsidRPr="00004CA5">
        <w:rPr>
          <w:rFonts w:cs="Arial"/>
          <w:szCs w:val="24"/>
        </w:rPr>
        <w:t xml:space="preserve">to </w:t>
      </w:r>
      <w:r w:rsidR="00E939C9" w:rsidRPr="00004CA5">
        <w:rPr>
          <w:rFonts w:cs="Arial"/>
          <w:szCs w:val="24"/>
        </w:rPr>
        <w:t>simulate the conditions in the human large intestine. Faec</w:t>
      </w:r>
      <w:r w:rsidR="009831FD" w:rsidRPr="00004CA5">
        <w:rPr>
          <w:rFonts w:cs="Arial"/>
          <w:szCs w:val="24"/>
        </w:rPr>
        <w:t>al sampl</w:t>
      </w:r>
      <w:r w:rsidR="00E939C9" w:rsidRPr="00004CA5">
        <w:rPr>
          <w:rFonts w:cs="Arial"/>
          <w:szCs w:val="24"/>
        </w:rPr>
        <w:t>es w</w:t>
      </w:r>
      <w:r w:rsidR="009831FD" w:rsidRPr="00004CA5">
        <w:rPr>
          <w:rFonts w:cs="Arial"/>
          <w:szCs w:val="24"/>
        </w:rPr>
        <w:t>ere</w:t>
      </w:r>
      <w:r w:rsidR="00E939C9" w:rsidRPr="00004CA5">
        <w:rPr>
          <w:rFonts w:cs="Arial"/>
          <w:szCs w:val="24"/>
        </w:rPr>
        <w:t xml:space="preserve"> obtained from six healthy adults</w:t>
      </w:r>
      <w:r w:rsidR="00BF6376" w:rsidRPr="00004CA5">
        <w:rPr>
          <w:rFonts w:cs="Arial"/>
          <w:szCs w:val="24"/>
        </w:rPr>
        <w:t>.</w:t>
      </w:r>
      <w:r w:rsidR="001F7863" w:rsidRPr="00004CA5">
        <w:rPr>
          <w:rFonts w:cs="Arial"/>
          <w:szCs w:val="24"/>
        </w:rPr>
        <w:t xml:space="preserve"> Fibre-specific changes </w:t>
      </w:r>
      <w:r w:rsidR="009831FD" w:rsidRPr="00004CA5">
        <w:rPr>
          <w:rFonts w:cs="Arial"/>
          <w:szCs w:val="24"/>
        </w:rPr>
        <w:t xml:space="preserve">in the </w:t>
      </w:r>
      <w:r w:rsidR="001F7863" w:rsidRPr="00004CA5">
        <w:rPr>
          <w:rFonts w:cs="Arial"/>
          <w:szCs w:val="24"/>
        </w:rPr>
        <w:t xml:space="preserve">microbial community were observed, which were potentially linked to the chemical composition of each tested product. The abundance of </w:t>
      </w:r>
      <w:r w:rsidR="001F7863" w:rsidRPr="00004CA5">
        <w:rPr>
          <w:rFonts w:cs="Arial"/>
          <w:i/>
          <w:iCs/>
          <w:szCs w:val="24"/>
        </w:rPr>
        <w:t xml:space="preserve">Bacteroidaceae </w:t>
      </w:r>
      <w:r w:rsidR="001F7863" w:rsidRPr="00004CA5">
        <w:rPr>
          <w:rFonts w:cs="Arial"/>
          <w:szCs w:val="24"/>
        </w:rPr>
        <w:t xml:space="preserve">(genus </w:t>
      </w:r>
      <w:r w:rsidR="001F7863" w:rsidRPr="00004CA5">
        <w:rPr>
          <w:rFonts w:cs="Arial"/>
          <w:i/>
          <w:iCs/>
          <w:szCs w:val="24"/>
        </w:rPr>
        <w:t>Bacteroides</w:t>
      </w:r>
      <w:r w:rsidR="001F7863" w:rsidRPr="00004CA5">
        <w:rPr>
          <w:rFonts w:cs="Arial"/>
          <w:szCs w:val="24"/>
        </w:rPr>
        <w:t xml:space="preserve">) and </w:t>
      </w:r>
      <w:r w:rsidR="001F7863" w:rsidRPr="00004CA5">
        <w:rPr>
          <w:rFonts w:cs="Arial"/>
          <w:i/>
          <w:iCs/>
          <w:szCs w:val="24"/>
        </w:rPr>
        <w:t>Porphyromonadaceae</w:t>
      </w:r>
      <w:r w:rsidR="001F7863" w:rsidRPr="00004CA5">
        <w:rPr>
          <w:rFonts w:cs="Arial"/>
          <w:szCs w:val="24"/>
        </w:rPr>
        <w:t xml:space="preserve"> (genus </w:t>
      </w:r>
      <w:r w:rsidR="001F7863" w:rsidRPr="00004CA5">
        <w:rPr>
          <w:rFonts w:cs="Arial"/>
          <w:i/>
          <w:iCs/>
          <w:szCs w:val="24"/>
        </w:rPr>
        <w:t>Parabacteroides</w:t>
      </w:r>
      <w:r w:rsidR="001F7863" w:rsidRPr="00004CA5">
        <w:rPr>
          <w:rFonts w:cs="Arial"/>
          <w:szCs w:val="24"/>
        </w:rPr>
        <w:t xml:space="preserve">) </w:t>
      </w:r>
      <w:r w:rsidR="0038427E" w:rsidRPr="00004CA5">
        <w:rPr>
          <w:rFonts w:cs="Arial"/>
          <w:szCs w:val="24"/>
        </w:rPr>
        <w:t>was</w:t>
      </w:r>
      <w:r w:rsidR="001F7863" w:rsidRPr="00004CA5">
        <w:rPr>
          <w:rFonts w:cs="Arial"/>
          <w:szCs w:val="24"/>
        </w:rPr>
        <w:t xml:space="preserve"> significantly higher upon addition of wheat dextrin and Psyllium husk, while </w:t>
      </w:r>
      <w:r w:rsidR="001F7863" w:rsidRPr="00004CA5">
        <w:rPr>
          <w:rFonts w:cs="Arial"/>
          <w:i/>
          <w:iCs/>
          <w:szCs w:val="24"/>
        </w:rPr>
        <w:t>Lachnospiraceae</w:t>
      </w:r>
      <w:r w:rsidR="001F7863" w:rsidRPr="00004CA5">
        <w:rPr>
          <w:rFonts w:cs="Arial"/>
          <w:szCs w:val="24"/>
        </w:rPr>
        <w:t xml:space="preserve"> and </w:t>
      </w:r>
      <w:r w:rsidR="001F7863" w:rsidRPr="00004CA5">
        <w:rPr>
          <w:rFonts w:cs="Arial"/>
          <w:i/>
          <w:iCs/>
          <w:szCs w:val="24"/>
        </w:rPr>
        <w:t>Ruminococcaceae</w:t>
      </w:r>
      <w:r w:rsidR="001F7863" w:rsidRPr="00004CA5">
        <w:rPr>
          <w:rFonts w:cs="Arial"/>
          <w:szCs w:val="24"/>
        </w:rPr>
        <w:t xml:space="preserve"> were highly abundant in the presence of sugarcane stem.</w:t>
      </w:r>
      <w:r w:rsidR="008709E4" w:rsidRPr="00004CA5">
        <w:rPr>
          <w:rFonts w:cs="Arial"/>
          <w:szCs w:val="24"/>
        </w:rPr>
        <w:t xml:space="preserve"> SCFA production increased with all of the fibres, but more so with the wheat dextrin and Psyllium husk than with the sugarcane</w:t>
      </w:r>
      <w:r w:rsidR="00862267" w:rsidRPr="00004CA5">
        <w:rPr>
          <w:rFonts w:cs="Arial"/>
          <w:szCs w:val="24"/>
        </w:rPr>
        <w:t xml:space="preserve">, probably as a result of the </w:t>
      </w:r>
      <w:r w:rsidR="0038427E" w:rsidRPr="00004CA5">
        <w:rPr>
          <w:rFonts w:cs="Arial"/>
          <w:szCs w:val="24"/>
        </w:rPr>
        <w:t xml:space="preserve">bacterial </w:t>
      </w:r>
      <w:r w:rsidR="00862267" w:rsidRPr="00004CA5">
        <w:rPr>
          <w:rFonts w:cs="Arial"/>
          <w:szCs w:val="24"/>
        </w:rPr>
        <w:t>population cha</w:t>
      </w:r>
      <w:r w:rsidR="000D259F" w:rsidRPr="00004CA5">
        <w:rPr>
          <w:rFonts w:cs="Arial"/>
          <w:szCs w:val="24"/>
        </w:rPr>
        <w:t>n</w:t>
      </w:r>
      <w:r w:rsidR="00862267" w:rsidRPr="00004CA5">
        <w:rPr>
          <w:rFonts w:cs="Arial"/>
          <w:szCs w:val="24"/>
        </w:rPr>
        <w:t xml:space="preserve">ges. The authors recommended </w:t>
      </w:r>
      <w:r w:rsidR="00862267" w:rsidRPr="00004CA5">
        <w:rPr>
          <w:rFonts w:cs="Arial"/>
          <w:color w:val="000000"/>
          <w:szCs w:val="24"/>
        </w:rPr>
        <w:t xml:space="preserve">that </w:t>
      </w:r>
      <w:r w:rsidR="00862267" w:rsidRPr="00004CA5">
        <w:rPr>
          <w:rFonts w:cs="Arial"/>
          <w:i/>
          <w:iCs/>
          <w:color w:val="000000"/>
          <w:szCs w:val="24"/>
        </w:rPr>
        <w:t>in vivo</w:t>
      </w:r>
      <w:r w:rsidR="00862267" w:rsidRPr="00004CA5">
        <w:rPr>
          <w:rFonts w:cs="Arial"/>
          <w:color w:val="000000"/>
          <w:szCs w:val="24"/>
        </w:rPr>
        <w:t xml:space="preserve"> experiments could be </w:t>
      </w:r>
      <w:r w:rsidR="00C75551" w:rsidRPr="00004CA5">
        <w:rPr>
          <w:rFonts w:cs="Arial"/>
          <w:color w:val="000000"/>
          <w:szCs w:val="24"/>
        </w:rPr>
        <w:t>performed</w:t>
      </w:r>
      <w:r w:rsidR="00862267" w:rsidRPr="00004CA5">
        <w:rPr>
          <w:rFonts w:cs="Arial"/>
          <w:color w:val="000000"/>
          <w:szCs w:val="24"/>
        </w:rPr>
        <w:t xml:space="preserve"> to gain further insight into the long-term</w:t>
      </w:r>
      <w:r w:rsidR="00C75551" w:rsidRPr="00004CA5">
        <w:rPr>
          <w:rFonts w:cs="Arial"/>
          <w:color w:val="000000"/>
          <w:szCs w:val="24"/>
        </w:rPr>
        <w:t xml:space="preserve"> </w:t>
      </w:r>
      <w:r w:rsidR="00862267" w:rsidRPr="00004CA5">
        <w:rPr>
          <w:rFonts w:cs="Arial"/>
          <w:color w:val="000000"/>
          <w:szCs w:val="24"/>
        </w:rPr>
        <w:t>effect of fib</w:t>
      </w:r>
      <w:r w:rsidR="00C75551" w:rsidRPr="00004CA5">
        <w:rPr>
          <w:rFonts w:cs="Arial"/>
          <w:color w:val="000000"/>
          <w:szCs w:val="24"/>
        </w:rPr>
        <w:t xml:space="preserve">re </w:t>
      </w:r>
      <w:r w:rsidR="00862267" w:rsidRPr="00004CA5">
        <w:rPr>
          <w:rFonts w:cs="Arial"/>
          <w:color w:val="000000"/>
          <w:szCs w:val="24"/>
        </w:rPr>
        <w:t>products on the gut microbiota and how long the</w:t>
      </w:r>
      <w:r w:rsidR="00C75551" w:rsidRPr="00004CA5">
        <w:rPr>
          <w:rFonts w:cs="Arial"/>
          <w:color w:val="000000"/>
          <w:szCs w:val="24"/>
        </w:rPr>
        <w:t xml:space="preserve"> changes might</w:t>
      </w:r>
      <w:r w:rsidR="00862267" w:rsidRPr="00004CA5">
        <w:rPr>
          <w:rFonts w:cs="Arial"/>
          <w:color w:val="000000"/>
          <w:szCs w:val="24"/>
        </w:rPr>
        <w:t xml:space="preserve"> last after consumption, while taking</w:t>
      </w:r>
      <w:r w:rsidR="00C75551" w:rsidRPr="00004CA5">
        <w:rPr>
          <w:rFonts w:cs="Arial"/>
          <w:color w:val="000000"/>
          <w:szCs w:val="24"/>
        </w:rPr>
        <w:t xml:space="preserve"> into account </w:t>
      </w:r>
      <w:r w:rsidR="00862267" w:rsidRPr="00004CA5">
        <w:rPr>
          <w:rFonts w:cs="Arial"/>
          <w:color w:val="000000"/>
          <w:szCs w:val="24"/>
        </w:rPr>
        <w:t>differences in health, normal diet and colonic transit time between individuals</w:t>
      </w:r>
      <w:r w:rsidR="00C75551" w:rsidRPr="00004CA5">
        <w:rPr>
          <w:rFonts w:cs="Arial"/>
          <w:color w:val="000000"/>
          <w:szCs w:val="24"/>
        </w:rPr>
        <w:t>.</w:t>
      </w:r>
    </w:p>
    <w:p w:rsidR="00004CA5" w:rsidRPr="00004CA5" w:rsidRDefault="00004CA5" w:rsidP="00004CA5">
      <w:pPr>
        <w:pStyle w:val="ListParagraph"/>
        <w:tabs>
          <w:tab w:val="left" w:pos="0"/>
        </w:tabs>
        <w:spacing w:before="240" w:line="240" w:lineRule="auto"/>
        <w:ind w:left="0"/>
      </w:pPr>
    </w:p>
    <w:p w:rsidR="009424D2" w:rsidRDefault="00897904" w:rsidP="00755293">
      <w:pPr>
        <w:pStyle w:val="ListParagraph"/>
        <w:numPr>
          <w:ilvl w:val="2"/>
          <w:numId w:val="1"/>
        </w:numPr>
        <w:tabs>
          <w:tab w:val="left" w:pos="0"/>
        </w:tabs>
        <w:spacing w:before="240" w:line="240" w:lineRule="auto"/>
        <w:ind w:left="0" w:firstLine="0"/>
      </w:pPr>
      <w:r w:rsidRPr="00F94FA9">
        <w:t xml:space="preserve">Probiotics </w:t>
      </w:r>
      <w:r w:rsidR="00886AD2">
        <w:t>contain</w:t>
      </w:r>
      <w:r w:rsidR="00886AD2" w:rsidRPr="00F94FA9">
        <w:t xml:space="preserve"> </w:t>
      </w:r>
      <w:r w:rsidRPr="00F94FA9">
        <w:t>bacteria that are ingested with the intent of maintaining the balance of the microbi</w:t>
      </w:r>
      <w:r w:rsidR="005B61A8" w:rsidRPr="00F94FA9">
        <w:t>al</w:t>
      </w:r>
      <w:r w:rsidRPr="00F94FA9">
        <w:t xml:space="preserve"> communities in the gut, maintain</w:t>
      </w:r>
      <w:r w:rsidR="007A24FD">
        <w:t>ing</w:t>
      </w:r>
      <w:r w:rsidRPr="00F94FA9">
        <w:t xml:space="preserve"> the integrity of the epithelium and prevent</w:t>
      </w:r>
      <w:r w:rsidR="007A24FD">
        <w:t>ing</w:t>
      </w:r>
      <w:r w:rsidRPr="00F94FA9">
        <w:t xml:space="preserve"> the overgrowth of pathogens. </w:t>
      </w:r>
      <w:r w:rsidRPr="00004CA5">
        <w:rPr>
          <w:i/>
        </w:rPr>
        <w:t xml:space="preserve">Lactobacillus </w:t>
      </w:r>
      <w:r w:rsidRPr="00F94FA9">
        <w:t xml:space="preserve">spp or </w:t>
      </w:r>
      <w:r w:rsidRPr="00004CA5">
        <w:rPr>
          <w:i/>
        </w:rPr>
        <w:t>Bifidobacterium</w:t>
      </w:r>
      <w:r w:rsidRPr="00F94FA9">
        <w:t xml:space="preserve"> spp are often added to yogurts and drinks </w:t>
      </w:r>
      <w:r w:rsidR="0061009F" w:rsidRPr="00F94FA9">
        <w:t>with this stated intent.</w:t>
      </w:r>
      <w:r w:rsidR="00FA1E6E" w:rsidRPr="00F94FA9">
        <w:t xml:space="preserve"> </w:t>
      </w:r>
    </w:p>
    <w:p w:rsidR="009424D2" w:rsidRDefault="00777FBC" w:rsidP="00755293">
      <w:pPr>
        <w:pStyle w:val="ListParagraph"/>
        <w:tabs>
          <w:tab w:val="left" w:pos="0"/>
        </w:tabs>
        <w:spacing w:before="240" w:line="240" w:lineRule="auto"/>
        <w:ind w:left="0"/>
      </w:pPr>
      <w:r w:rsidRPr="00F94FA9">
        <w:t>Fijan (2014) review</w:t>
      </w:r>
      <w:r w:rsidR="00DF1BC8" w:rsidRPr="00F94FA9">
        <w:t>ed</w:t>
      </w:r>
      <w:r w:rsidRPr="00F94FA9">
        <w:t xml:space="preserve"> the field of probiotics and discusse</w:t>
      </w:r>
      <w:r w:rsidR="00DF1BC8" w:rsidRPr="00F94FA9">
        <w:t>d</w:t>
      </w:r>
      <w:r w:rsidRPr="00F94FA9">
        <w:t xml:space="preserve"> health claims related to their use and concluded that care should be taken </w:t>
      </w:r>
      <w:r w:rsidR="0038427E">
        <w:t xml:space="preserve">in their use </w:t>
      </w:r>
      <w:r w:rsidRPr="00F94FA9">
        <w:t>by people with existing conditions such as leaky gut, compromised immune systems or critical illnesses, not least because their effects seem to be strain</w:t>
      </w:r>
      <w:r w:rsidR="0085396F">
        <w:t xml:space="preserve"> </w:t>
      </w:r>
      <w:r w:rsidRPr="00F94FA9">
        <w:t xml:space="preserve">specific. It is, however, possible for a suitable organism with resistance to stomach acid and bile to reach its intended target of the large intestine and exert some re-balancing effect on a </w:t>
      </w:r>
    </w:p>
    <w:p w:rsidR="009424D2" w:rsidRDefault="00777FBC" w:rsidP="00755293">
      <w:pPr>
        <w:pStyle w:val="ListParagraph"/>
        <w:tabs>
          <w:tab w:val="left" w:pos="0"/>
        </w:tabs>
        <w:spacing w:before="240" w:line="240" w:lineRule="auto"/>
        <w:ind w:left="0"/>
      </w:pPr>
      <w:r w:rsidRPr="00F94FA9">
        <w:t>microbial community in dysbiosis, even if th</w:t>
      </w:r>
      <w:r w:rsidR="00144449">
        <w:t>e</w:t>
      </w:r>
      <w:r w:rsidRPr="00F94FA9">
        <w:t xml:space="preserve"> presence of that organism may itself be transient.</w:t>
      </w:r>
    </w:p>
    <w:p w:rsidR="00AE41E9" w:rsidRDefault="00AE41E9" w:rsidP="00F40887">
      <w:pPr>
        <w:pStyle w:val="ListParagraph"/>
      </w:pPr>
    </w:p>
    <w:p w:rsidR="0066156D" w:rsidRDefault="0066156D" w:rsidP="00F40887">
      <w:pPr>
        <w:pStyle w:val="ListParagraph"/>
        <w:numPr>
          <w:ilvl w:val="2"/>
          <w:numId w:val="1"/>
        </w:numPr>
        <w:tabs>
          <w:tab w:val="left" w:pos="0"/>
        </w:tabs>
        <w:spacing w:before="240" w:line="240" w:lineRule="auto"/>
        <w:ind w:left="0" w:firstLine="0"/>
      </w:pPr>
      <w:r w:rsidRPr="00F94FA9">
        <w:t>Additives to the diet that provide both a prebiotic nutrient and a probiotic bacterium are termed synbiotics</w:t>
      </w:r>
      <w:r w:rsidR="00AE2D7F">
        <w:t>.</w:t>
      </w:r>
      <w:r w:rsidR="00777FBC" w:rsidRPr="00F94FA9">
        <w:t xml:space="preserve"> Markowiak and Slizewska (2017) list clinical trials with a range of bacteria and fructo-oligosaccharides. </w:t>
      </w:r>
      <w:r w:rsidR="0038427E">
        <w:t>The studies</w:t>
      </w:r>
      <w:r w:rsidR="0038427E" w:rsidRPr="00F94FA9">
        <w:t xml:space="preserve"> </w:t>
      </w:r>
      <w:r w:rsidR="00777FBC" w:rsidRPr="00F94FA9">
        <w:t xml:space="preserve">showed improvements in </w:t>
      </w:r>
      <w:r w:rsidR="0038427E">
        <w:t xml:space="preserve">a number of outcomes (biomarkers) associated with </w:t>
      </w:r>
      <w:r w:rsidR="00777FBC" w:rsidRPr="00F94FA9">
        <w:t>obesity, insulin resistance and type 2 diabetes.</w:t>
      </w:r>
    </w:p>
    <w:p w:rsidR="00AE41E9" w:rsidRDefault="00AE41E9" w:rsidP="00F40887">
      <w:pPr>
        <w:pStyle w:val="ListParagraph"/>
      </w:pPr>
    </w:p>
    <w:p w:rsidR="005A62EB" w:rsidRDefault="002F244A" w:rsidP="00F40887">
      <w:pPr>
        <w:pStyle w:val="ListParagraph"/>
        <w:numPr>
          <w:ilvl w:val="2"/>
          <w:numId w:val="1"/>
        </w:numPr>
        <w:tabs>
          <w:tab w:val="left" w:pos="0"/>
        </w:tabs>
        <w:spacing w:before="240" w:line="240" w:lineRule="auto"/>
        <w:ind w:left="0" w:firstLine="0"/>
      </w:pPr>
      <w:r w:rsidRPr="00F94FA9">
        <w:t xml:space="preserve">However, </w:t>
      </w:r>
      <w:r w:rsidR="00886AD2">
        <w:t>studies on</w:t>
      </w:r>
      <w:r w:rsidRPr="00F94FA9">
        <w:t xml:space="preserve"> the effects of changes in the balance of the gut microbiota on health</w:t>
      </w:r>
      <w:r w:rsidR="00F857F4" w:rsidRPr="00F94FA9">
        <w:t xml:space="preserve"> have </w:t>
      </w:r>
      <w:r w:rsidR="0043057E" w:rsidRPr="00F94FA9">
        <w:t xml:space="preserve">largely </w:t>
      </w:r>
      <w:r w:rsidR="00F857F4" w:rsidRPr="00F94FA9">
        <w:t>been performed on animals and the responses</w:t>
      </w:r>
      <w:r w:rsidRPr="00F94FA9">
        <w:t xml:space="preserve"> of humans and </w:t>
      </w:r>
      <w:r w:rsidR="0038427E">
        <w:t xml:space="preserve">experimental </w:t>
      </w:r>
      <w:r w:rsidRPr="00F94FA9">
        <w:t>animals</w:t>
      </w:r>
      <w:r w:rsidR="00100A19">
        <w:t xml:space="preserve"> to the same substances may</w:t>
      </w:r>
      <w:r w:rsidRPr="00F94FA9">
        <w:t xml:space="preserve"> differ</w:t>
      </w:r>
      <w:r w:rsidR="00DF0598" w:rsidRPr="00F94FA9">
        <w:t>.</w:t>
      </w:r>
      <w:r w:rsidRPr="00F94FA9">
        <w:t xml:space="preserve"> </w:t>
      </w:r>
      <w:r w:rsidR="00910A15">
        <w:t xml:space="preserve">Nguyen </w:t>
      </w:r>
      <w:r w:rsidR="00910A15" w:rsidRPr="00AE41E9">
        <w:rPr>
          <w:i/>
        </w:rPr>
        <w:t>et al</w:t>
      </w:r>
      <w:r w:rsidR="00910A15">
        <w:t xml:space="preserve"> (2015) considered how informative the use of mouse models is in relation to research on</w:t>
      </w:r>
      <w:r w:rsidR="0038427E">
        <w:t xml:space="preserve"> the</w:t>
      </w:r>
      <w:r w:rsidR="00910A15">
        <w:t xml:space="preserve"> human gut microbiota. The authors considered the effects of anatomical, environmental and dietary factors on the composition of </w:t>
      </w:r>
      <w:r w:rsidR="0038427E">
        <w:t xml:space="preserve">the </w:t>
      </w:r>
      <w:r w:rsidR="002A5F24">
        <w:t xml:space="preserve">mouse gut microbiota and the apparent differences from </w:t>
      </w:r>
      <w:r w:rsidR="0038427E">
        <w:t xml:space="preserve">the </w:t>
      </w:r>
      <w:r w:rsidR="002A5F24">
        <w:t>human gut flora. Humanised murine models, i.e. originally gnotobiotic (germ free) animals whose colons were inoculated with human faecal samples</w:t>
      </w:r>
      <w:r w:rsidR="00283AFC">
        <w:t>,</w:t>
      </w:r>
      <w:r w:rsidR="002A5F24">
        <w:t xml:space="preserve"> were recognised as having the research advantages of mouse models in general (life cycle, handling, genetic information, wide usage etc) as well as being </w:t>
      </w:r>
      <w:r w:rsidR="00283AFC">
        <w:t>a</w:t>
      </w:r>
      <w:r w:rsidR="002A5F24">
        <w:t xml:space="preserve"> </w:t>
      </w:r>
      <w:r w:rsidR="00283AFC">
        <w:t xml:space="preserve">much </w:t>
      </w:r>
      <w:r w:rsidR="002A5F24">
        <w:t>close</w:t>
      </w:r>
      <w:r w:rsidR="00283AFC">
        <w:t>r</w:t>
      </w:r>
      <w:r w:rsidR="002A5F24">
        <w:t xml:space="preserve"> approximation to the human situation</w:t>
      </w:r>
      <w:r w:rsidR="00283AFC">
        <w:t xml:space="preserve"> than wild-type animals, but were known to develop changes in the balance of bacterial taxa simply because the recipients are not human. </w:t>
      </w:r>
      <w:r w:rsidR="003D53B1">
        <w:t xml:space="preserve">Although such models had been used for assessing functional changes in the microbiota that could not be easily or ethically be </w:t>
      </w:r>
      <w:r w:rsidR="001106DE">
        <w:t xml:space="preserve">produced in </w:t>
      </w:r>
      <w:r w:rsidR="003D53B1">
        <w:t xml:space="preserve">humans, the lack of some taxa or changes in the </w:t>
      </w:r>
      <w:r w:rsidR="00C44229">
        <w:t>taxonomic balance led to uncertainties as to how closely disease-related changes mimicked those in humans.</w:t>
      </w:r>
      <w:r w:rsidR="00F64827">
        <w:t xml:space="preserve"> Moreover, colonies of gnotobiotic mice are expensive and difficult to maintain.</w:t>
      </w:r>
    </w:p>
    <w:p w:rsidR="00AE41E9" w:rsidRDefault="00AE41E9" w:rsidP="00F40887">
      <w:pPr>
        <w:pStyle w:val="ListParagraph"/>
        <w:tabs>
          <w:tab w:val="left" w:pos="0"/>
        </w:tabs>
        <w:spacing w:before="240" w:line="240" w:lineRule="auto"/>
        <w:ind w:left="0"/>
      </w:pPr>
    </w:p>
    <w:p w:rsidR="00DD63C3" w:rsidRDefault="00DF0598" w:rsidP="00F40887">
      <w:pPr>
        <w:pStyle w:val="ListParagraph"/>
        <w:numPr>
          <w:ilvl w:val="2"/>
          <w:numId w:val="1"/>
        </w:numPr>
        <w:tabs>
          <w:tab w:val="left" w:pos="0"/>
        </w:tabs>
        <w:spacing w:before="240" w:line="240" w:lineRule="auto"/>
        <w:ind w:left="0" w:firstLine="0"/>
      </w:pPr>
      <w:r w:rsidRPr="00F94FA9">
        <w:t>F</w:t>
      </w:r>
      <w:r w:rsidR="002F244A" w:rsidRPr="00F94FA9">
        <w:t>aecal transplants from obese to lean or</w:t>
      </w:r>
      <w:r w:rsidR="0047498C" w:rsidRPr="00F94FA9">
        <w:t xml:space="preserve"> from</w:t>
      </w:r>
      <w:r w:rsidR="002F244A" w:rsidRPr="00F94FA9">
        <w:t xml:space="preserve"> lean to obese mice have been shown to lead to the recipient developing the opposite phenotype, but this has not been proven to occur in humans. The prevalence of various taxonomic groups of bacteria in the human GI tract </w:t>
      </w:r>
      <w:r w:rsidR="00AC7F52" w:rsidRPr="00F94FA9">
        <w:t xml:space="preserve">has been correlated </w:t>
      </w:r>
      <w:r w:rsidR="007D0AE4" w:rsidRPr="00F94FA9">
        <w:t xml:space="preserve">with </w:t>
      </w:r>
      <w:r w:rsidR="00AC7F52" w:rsidRPr="00F94FA9">
        <w:t>type-2 diabetes</w:t>
      </w:r>
      <w:r w:rsidR="0005444E" w:rsidRPr="00F94FA9">
        <w:t xml:space="preserve">, </w:t>
      </w:r>
      <w:r w:rsidR="00AC7F52" w:rsidRPr="00F94FA9">
        <w:t>obesity</w:t>
      </w:r>
      <w:r w:rsidR="0005444E" w:rsidRPr="00F94FA9">
        <w:t xml:space="preserve"> and other conditions</w:t>
      </w:r>
      <w:r w:rsidR="00AC7F52" w:rsidRPr="00F94FA9">
        <w:t xml:space="preserve"> but</w:t>
      </w:r>
      <w:r w:rsidR="0005444E" w:rsidRPr="00F94FA9">
        <w:t xml:space="preserve"> evidence of</w:t>
      </w:r>
      <w:r w:rsidR="00AC7F52" w:rsidRPr="00F94FA9">
        <w:t xml:space="preserve"> causality</w:t>
      </w:r>
      <w:r w:rsidR="0005444E" w:rsidRPr="00F94FA9">
        <w:t xml:space="preserve"> is stronger in some cases than others. </w:t>
      </w:r>
      <w:r w:rsidR="000119FC" w:rsidRPr="00F94FA9">
        <w:t xml:space="preserve">Wortelboer </w:t>
      </w:r>
      <w:r w:rsidR="000119FC" w:rsidRPr="00AE41E9">
        <w:rPr>
          <w:i/>
        </w:rPr>
        <w:t>et al</w:t>
      </w:r>
      <w:r w:rsidR="000119FC" w:rsidRPr="00F94FA9">
        <w:t xml:space="preserve"> (2019) reviewed current progress in the use of faecal transplants in the treatment of various conditions and disease states. Whereas</w:t>
      </w:r>
      <w:r w:rsidR="00651704" w:rsidRPr="00F94FA9">
        <w:t xml:space="preserve"> recurr</w:t>
      </w:r>
      <w:r w:rsidR="0045262D" w:rsidRPr="00F94FA9">
        <w:t>e</w:t>
      </w:r>
      <w:r w:rsidR="00651704" w:rsidRPr="00F94FA9">
        <w:t>nt or refractory</w:t>
      </w:r>
      <w:r w:rsidR="000119FC" w:rsidRPr="00F94FA9">
        <w:t xml:space="preserve"> </w:t>
      </w:r>
      <w:r w:rsidR="000119FC" w:rsidRPr="00AE41E9">
        <w:rPr>
          <w:i/>
        </w:rPr>
        <w:t>Clostridium difficile</w:t>
      </w:r>
      <w:r w:rsidR="000119FC" w:rsidRPr="00F94FA9">
        <w:t xml:space="preserve"> infection is now recognised as being amenable to </w:t>
      </w:r>
      <w:r w:rsidR="001F4C46" w:rsidRPr="00F94FA9">
        <w:t>this treatment, the evidence for efficacy in inflammatory bowel disease, ulcerative colitis, irritable bowel syndrome, Crohn’s disease</w:t>
      </w:r>
      <w:r w:rsidRPr="00F94FA9">
        <w:t xml:space="preserve"> and</w:t>
      </w:r>
      <w:r w:rsidR="00642F44" w:rsidRPr="00F94FA9">
        <w:t xml:space="preserve"> </w:t>
      </w:r>
      <w:r w:rsidRPr="00F94FA9">
        <w:t xml:space="preserve">other conditions is hampered </w:t>
      </w:r>
      <w:r w:rsidR="00642F44" w:rsidRPr="00F94FA9">
        <w:t xml:space="preserve">by variable results and the need for further studies. </w:t>
      </w:r>
      <w:r w:rsidR="00827113" w:rsidRPr="00F94FA9">
        <w:t>I</w:t>
      </w:r>
      <w:r w:rsidR="00642F44" w:rsidRPr="00F94FA9">
        <w:t xml:space="preserve">f the baseline involvement of the taxa of the microbiota in human pathology has not been established, then </w:t>
      </w:r>
      <w:r w:rsidR="00BC2181">
        <w:t xml:space="preserve">correlating </w:t>
      </w:r>
      <w:r w:rsidR="00772481">
        <w:t xml:space="preserve">disease states with </w:t>
      </w:r>
      <w:r w:rsidR="00642F44" w:rsidRPr="00F94FA9">
        <w:t>the effect of xenobiotics and the</w:t>
      </w:r>
      <w:r w:rsidR="00F05524" w:rsidRPr="00F94FA9">
        <w:t>i</w:t>
      </w:r>
      <w:r w:rsidR="00642F44" w:rsidRPr="00F94FA9">
        <w:t>r metabolites</w:t>
      </w:r>
      <w:r w:rsidR="00870D65">
        <w:t xml:space="preserve"> </w:t>
      </w:r>
      <w:r w:rsidR="00772481">
        <w:t xml:space="preserve">on the gut taxa </w:t>
      </w:r>
      <w:r w:rsidR="0047498C" w:rsidRPr="00F94FA9">
        <w:t xml:space="preserve">is even more </w:t>
      </w:r>
      <w:r w:rsidR="00EA3EB5">
        <w:t>problematic</w:t>
      </w:r>
      <w:r w:rsidR="0047498C" w:rsidRPr="00F94FA9">
        <w:t>.</w:t>
      </w:r>
    </w:p>
    <w:p w:rsidR="00AE41E9" w:rsidRDefault="00AE41E9" w:rsidP="00F40887">
      <w:pPr>
        <w:pStyle w:val="ListParagraph"/>
      </w:pPr>
    </w:p>
    <w:p w:rsidR="00AE41E9" w:rsidRDefault="00AE41E9" w:rsidP="00F40887">
      <w:pPr>
        <w:pStyle w:val="ListParagraph"/>
      </w:pPr>
    </w:p>
    <w:p w:rsidR="00AE41E9" w:rsidRPr="00AE41E9" w:rsidRDefault="00AE41E9" w:rsidP="00F40887">
      <w:pPr>
        <w:rPr>
          <w:b/>
          <w:bCs/>
        </w:rPr>
      </w:pPr>
      <w:r w:rsidRPr="00AE41E9">
        <w:rPr>
          <w:b/>
          <w:bCs/>
        </w:rPr>
        <w:t>Functional aspects of the human gut flora</w:t>
      </w:r>
    </w:p>
    <w:p w:rsidR="00EA7156" w:rsidRDefault="00F64827" w:rsidP="00F40887">
      <w:pPr>
        <w:pStyle w:val="ListParagraph"/>
        <w:numPr>
          <w:ilvl w:val="2"/>
          <w:numId w:val="1"/>
        </w:numPr>
        <w:tabs>
          <w:tab w:val="left" w:pos="0"/>
        </w:tabs>
        <w:spacing w:before="240" w:line="240" w:lineRule="auto"/>
        <w:ind w:left="0" w:firstLine="0"/>
      </w:pPr>
      <w:r>
        <w:t xml:space="preserve">Tanca </w:t>
      </w:r>
      <w:r w:rsidRPr="00AE41E9">
        <w:rPr>
          <w:i/>
          <w:iCs/>
        </w:rPr>
        <w:t xml:space="preserve">et al </w:t>
      </w:r>
      <w:r>
        <w:t xml:space="preserve"> (2017) performed </w:t>
      </w:r>
      <w:r w:rsidR="002D130F">
        <w:t>metagenomics and metaproteomics on stool samples from</w:t>
      </w:r>
      <w:r w:rsidR="00EB5232">
        <w:t xml:space="preserve"> 15 healthy subjects in Sardinia</w:t>
      </w:r>
      <w:r w:rsidR="002C62DC">
        <w:t xml:space="preserve"> to investigate potential and expressed functions of their gut flora. The </w:t>
      </w:r>
      <w:r w:rsidR="002C62DC" w:rsidRPr="00AE41E9">
        <w:rPr>
          <w:i/>
          <w:iCs/>
        </w:rPr>
        <w:t xml:space="preserve">Bacteroidetes </w:t>
      </w:r>
      <w:r w:rsidR="002C62DC">
        <w:t xml:space="preserve">were found to be involved in iron homeostasis, catabolism of non-glucose monosaccharides (rhamnose, xylose) and folate metabolism. </w:t>
      </w:r>
      <w:r w:rsidR="002C62DC" w:rsidRPr="00AE41E9">
        <w:rPr>
          <w:i/>
          <w:iCs/>
        </w:rPr>
        <w:t>Firmicutes</w:t>
      </w:r>
      <w:r w:rsidR="002C62DC">
        <w:t xml:space="preserve"> were involved in butyrate synthesis,</w:t>
      </w:r>
      <w:r w:rsidR="00086760">
        <w:t xml:space="preserve"> to a large extent by </w:t>
      </w:r>
      <w:r w:rsidR="00086760" w:rsidRPr="00AE41E9">
        <w:rPr>
          <w:i/>
          <w:iCs/>
        </w:rPr>
        <w:t>Faecobacterium</w:t>
      </w:r>
      <w:r w:rsidR="00086760">
        <w:t>,</w:t>
      </w:r>
      <w:r w:rsidR="002C62DC">
        <w:t xml:space="preserve"> expressing the associated enzymes acetyl</w:t>
      </w:r>
      <w:r w:rsidR="006F32DA">
        <w:t>-CoA-C-acetyltransferase, 3-hydroxybutyryl-CoA dehydrogenase, butyryl-CoA dehydrogenase, glutaconyl-CoA</w:t>
      </w:r>
      <w:r w:rsidR="00FB0D23">
        <w:t xml:space="preserve"> decarboxylase and enoyl-CoA</w:t>
      </w:r>
      <w:r w:rsidR="00086760">
        <w:t xml:space="preserve"> </w:t>
      </w:r>
      <w:r w:rsidR="00FB0D23">
        <w:t>hydratas</w:t>
      </w:r>
      <w:r w:rsidR="00086760">
        <w:t>e</w:t>
      </w:r>
      <w:r w:rsidR="00450536">
        <w:t>. Core metabolic functions such as glycolysis, the pentose phosphate pathway and pyruvate metabolism were shared across the major phyla.</w:t>
      </w:r>
      <w:r w:rsidR="00401EB4">
        <w:t xml:space="preserve"> </w:t>
      </w:r>
      <w:r w:rsidR="00086760">
        <w:t xml:space="preserve">Acetate and propionate synthesis was found to be carried out by both the </w:t>
      </w:r>
      <w:r w:rsidR="00086760" w:rsidRPr="00AE41E9">
        <w:rPr>
          <w:i/>
          <w:iCs/>
        </w:rPr>
        <w:t>Bacteroidetes</w:t>
      </w:r>
      <w:r w:rsidR="00086760">
        <w:t xml:space="preserve"> (</w:t>
      </w:r>
      <w:r w:rsidR="00D73980" w:rsidRPr="00AE41E9">
        <w:rPr>
          <w:i/>
          <w:iCs/>
        </w:rPr>
        <w:t xml:space="preserve">Bacteroides </w:t>
      </w:r>
      <w:r w:rsidR="00D73980">
        <w:t>and</w:t>
      </w:r>
      <w:r w:rsidR="00086760">
        <w:t xml:space="preserve"> </w:t>
      </w:r>
      <w:r w:rsidR="00086760" w:rsidRPr="00AE41E9">
        <w:rPr>
          <w:i/>
          <w:iCs/>
        </w:rPr>
        <w:t>Prevotella</w:t>
      </w:r>
      <w:r w:rsidR="00086760">
        <w:t>)</w:t>
      </w:r>
      <w:r w:rsidR="00EE11D7">
        <w:t xml:space="preserve"> and </w:t>
      </w:r>
      <w:r w:rsidR="00EE11D7" w:rsidRPr="00AE41E9">
        <w:rPr>
          <w:i/>
          <w:iCs/>
        </w:rPr>
        <w:t>Firmicutes</w:t>
      </w:r>
      <w:r w:rsidR="00EE11D7">
        <w:t xml:space="preserve"> and to a lesser extent the </w:t>
      </w:r>
      <w:r w:rsidR="00EE11D7" w:rsidRPr="00AE41E9">
        <w:rPr>
          <w:i/>
          <w:iCs/>
        </w:rPr>
        <w:t>Proteobacteria</w:t>
      </w:r>
      <w:r w:rsidR="00EE11D7">
        <w:t xml:space="preserve"> and </w:t>
      </w:r>
      <w:r w:rsidR="00EE11D7" w:rsidRPr="00AE41E9">
        <w:rPr>
          <w:i/>
          <w:iCs/>
        </w:rPr>
        <w:t>Actinobacteria</w:t>
      </w:r>
      <w:r w:rsidR="00086760">
        <w:t xml:space="preserve">. </w:t>
      </w:r>
      <w:r w:rsidR="008D3F12">
        <w:t xml:space="preserve">Cross-feeding between </w:t>
      </w:r>
      <w:r w:rsidR="00142979">
        <w:t xml:space="preserve">bacterial </w:t>
      </w:r>
      <w:r w:rsidR="008D3F12">
        <w:t>species has been observed, for instance</w:t>
      </w:r>
      <w:r w:rsidR="00142979">
        <w:t>,</w:t>
      </w:r>
      <w:r w:rsidR="008D3F12">
        <w:t xml:space="preserve"> t</w:t>
      </w:r>
      <w:r w:rsidR="00EE11D7">
        <w:t>he</w:t>
      </w:r>
      <w:r w:rsidR="000F4B7E">
        <w:t xml:space="preserve"> </w:t>
      </w:r>
      <w:r w:rsidR="000F4B7E" w:rsidRPr="00AE41E9">
        <w:rPr>
          <w:i/>
          <w:iCs/>
        </w:rPr>
        <w:t>Bifidobacteri</w:t>
      </w:r>
      <w:r w:rsidR="00EE11D7" w:rsidRPr="00AE41E9">
        <w:rPr>
          <w:i/>
          <w:iCs/>
        </w:rPr>
        <w:t>a</w:t>
      </w:r>
      <w:r w:rsidR="000F4B7E">
        <w:t xml:space="preserve"> have been found to cross-feed </w:t>
      </w:r>
      <w:r w:rsidR="00EE11D7">
        <w:t>acetate as a</w:t>
      </w:r>
      <w:r w:rsidR="000F4B7E">
        <w:t xml:space="preserve"> product of inulin metabolism to butyrate producers (</w:t>
      </w:r>
      <w:r w:rsidR="00EE11D7">
        <w:t>O’Callaghan &amp; van Sinderen, 2016</w:t>
      </w:r>
      <w:r w:rsidR="00401EB4">
        <w:t>)</w:t>
      </w:r>
      <w:r w:rsidR="008D3F12">
        <w:t xml:space="preserve"> and </w:t>
      </w:r>
      <w:r w:rsidR="00ED672C">
        <w:t xml:space="preserve">the fermentation of rhamnose by </w:t>
      </w:r>
      <w:r w:rsidR="00ED672C" w:rsidRPr="00AE41E9">
        <w:rPr>
          <w:i/>
          <w:iCs/>
        </w:rPr>
        <w:t>Blautia spp</w:t>
      </w:r>
      <w:r w:rsidR="00ED672C">
        <w:t xml:space="preserve"> produces 1,2-propanediol that is used by </w:t>
      </w:r>
      <w:r w:rsidR="00ED672C" w:rsidRPr="00AE41E9">
        <w:rPr>
          <w:i/>
          <w:iCs/>
        </w:rPr>
        <w:t>Eubacterium hallii</w:t>
      </w:r>
      <w:r w:rsidR="00ED672C">
        <w:t xml:space="preserve"> (Reichardt </w:t>
      </w:r>
      <w:r w:rsidR="00ED672C" w:rsidRPr="00AE41E9">
        <w:rPr>
          <w:i/>
          <w:iCs/>
        </w:rPr>
        <w:t>et al</w:t>
      </w:r>
      <w:r w:rsidR="00ED672C">
        <w:t>, 2018)</w:t>
      </w:r>
      <w:r w:rsidR="002C5469">
        <w:t>, illustrating the interdependent nature of the gut flora.</w:t>
      </w:r>
    </w:p>
    <w:p w:rsidR="00AE41E9" w:rsidRDefault="00AE41E9" w:rsidP="00F40887">
      <w:pPr>
        <w:pStyle w:val="ListParagraph"/>
        <w:tabs>
          <w:tab w:val="left" w:pos="0"/>
        </w:tabs>
        <w:spacing w:before="240" w:line="240" w:lineRule="auto"/>
        <w:ind w:left="0"/>
      </w:pPr>
    </w:p>
    <w:p w:rsidR="002C5469" w:rsidRDefault="002C5469" w:rsidP="00F40887">
      <w:pPr>
        <w:pStyle w:val="ListParagraph"/>
        <w:numPr>
          <w:ilvl w:val="2"/>
          <w:numId w:val="1"/>
        </w:numPr>
        <w:tabs>
          <w:tab w:val="left" w:pos="0"/>
        </w:tabs>
        <w:spacing w:before="240" w:line="240" w:lineRule="auto"/>
        <w:ind w:left="0" w:firstLine="0"/>
      </w:pPr>
      <w:r>
        <w:t xml:space="preserve">Blakeley-Ruiz </w:t>
      </w:r>
      <w:r w:rsidRPr="00AE41E9">
        <w:rPr>
          <w:i/>
          <w:iCs/>
        </w:rPr>
        <w:t>et al</w:t>
      </w:r>
      <w:r>
        <w:t xml:space="preserve"> (2019) also used metaproteomics to probe the functions of the gut microbiota, in this case that of </w:t>
      </w:r>
      <w:r w:rsidR="00DB313F">
        <w:t xml:space="preserve">five </w:t>
      </w:r>
      <w:r>
        <w:t>patients in remission from Crohn’s disease</w:t>
      </w:r>
      <w:r w:rsidR="00665574">
        <w:t xml:space="preserve"> </w:t>
      </w:r>
      <w:r w:rsidR="00DB313F">
        <w:t>(3 females, 2 males aged 52 to</w:t>
      </w:r>
      <w:r w:rsidR="003A19F6">
        <w:t xml:space="preserve"> </w:t>
      </w:r>
      <w:r w:rsidR="00DB313F">
        <w:t>75 years)</w:t>
      </w:r>
      <w:r w:rsidR="00665574">
        <w:t>.</w:t>
      </w:r>
      <w:r w:rsidR="00140DBB">
        <w:t xml:space="preserve"> Catabolic functions of the microbiota, like the metabolism of N-acetylglucosamine and acety</w:t>
      </w:r>
      <w:r w:rsidR="00BF4382">
        <w:t>l</w:t>
      </w:r>
      <w:r w:rsidR="00140DBB">
        <w:t>neuraminate from host-ingested food and the production of SCFAs that have functions in the host</w:t>
      </w:r>
      <w:r w:rsidR="00142979">
        <w:t>,</w:t>
      </w:r>
      <w:r w:rsidR="00140DBB">
        <w:t xml:space="preserve"> appeared to be shared across the major phyla</w:t>
      </w:r>
      <w:r w:rsidR="00D770B4">
        <w:t xml:space="preserve"> in a dynamic way such that despite changes in taxonomic composition, overall functions remained. While acetate production was ubiquitous, the enzymes for propionate and especially butyrate synthesis were not found in all 5 individuals, which agreed with historical observations that SCFAs, butyrate in particular, were reduced in Crohn’s disease patients.</w:t>
      </w:r>
    </w:p>
    <w:p w:rsidR="00AE41E9" w:rsidRDefault="00AE41E9" w:rsidP="00F40887">
      <w:pPr>
        <w:pStyle w:val="ListParagraph"/>
      </w:pPr>
    </w:p>
    <w:p w:rsidR="00C67CEC" w:rsidRDefault="00C67CEC" w:rsidP="00F40887">
      <w:pPr>
        <w:pStyle w:val="ListParagraph"/>
        <w:numPr>
          <w:ilvl w:val="2"/>
          <w:numId w:val="1"/>
        </w:numPr>
        <w:tabs>
          <w:tab w:val="left" w:pos="0"/>
        </w:tabs>
        <w:spacing w:before="240" w:line="240" w:lineRule="auto"/>
        <w:ind w:left="0" w:firstLine="0"/>
      </w:pPr>
      <w:r>
        <w:t>Eng &amp; Borenstein</w:t>
      </w:r>
      <w:r w:rsidR="006C607E">
        <w:t xml:space="preserve"> (2018)</w:t>
      </w:r>
      <w:r>
        <w:t xml:space="preserve"> investigated the property of taxa-function robustness in the microbial communities in samples taken from different body sites that were part of the Human Microbiome Project</w:t>
      </w:r>
      <w:r w:rsidR="00F96E62">
        <w:t>.</w:t>
      </w:r>
      <w:r>
        <w:t xml:space="preserve"> </w:t>
      </w:r>
      <w:r w:rsidR="00F96E62">
        <w:t>T</w:t>
      </w:r>
      <w:r>
        <w:t xml:space="preserve">axa-function robustness was defined as the degree to which a shift in a community’s taxonomic composition will </w:t>
      </w:r>
      <w:r w:rsidR="009B5B4B">
        <w:t xml:space="preserve">affect </w:t>
      </w:r>
      <w:r>
        <w:t>its functional capacities.</w:t>
      </w:r>
      <w:r w:rsidR="00466DD0">
        <w:t xml:space="preserve"> Bacterial communities in the digestive tract in general were much more functionally </w:t>
      </w:r>
      <w:r w:rsidR="004162BF">
        <w:t>stable</w:t>
      </w:r>
      <w:r w:rsidR="005204CE">
        <w:t>,</w:t>
      </w:r>
      <w:r w:rsidR="004162BF">
        <w:t xml:space="preserve"> </w:t>
      </w:r>
      <w:r w:rsidR="00EA3EB5">
        <w:t>despite</w:t>
      </w:r>
      <w:r w:rsidR="00466DD0">
        <w:t xml:space="preserve"> taxonomic shifts</w:t>
      </w:r>
      <w:r w:rsidR="005204CE">
        <w:t>,</w:t>
      </w:r>
      <w:r w:rsidR="00466DD0">
        <w:t xml:space="preserve"> than those from other body sites such as the skin, nostrils and vagina.</w:t>
      </w:r>
    </w:p>
    <w:p w:rsidR="00AE41E9" w:rsidRDefault="00AE41E9" w:rsidP="00F40887">
      <w:pPr>
        <w:pStyle w:val="ListParagraph"/>
      </w:pPr>
    </w:p>
    <w:p w:rsidR="0082367B" w:rsidRDefault="00C30AAB" w:rsidP="00F40887">
      <w:pPr>
        <w:pStyle w:val="ListParagraph"/>
        <w:numPr>
          <w:ilvl w:val="2"/>
          <w:numId w:val="1"/>
        </w:numPr>
        <w:tabs>
          <w:tab w:val="left" w:pos="0"/>
        </w:tabs>
        <w:spacing w:before="240" w:line="240" w:lineRule="auto"/>
        <w:ind w:left="0" w:firstLine="0"/>
      </w:pPr>
      <w:r>
        <w:t xml:space="preserve">Gutierrez and Garrido (2019) created </w:t>
      </w:r>
      <w:r w:rsidR="000B4D05">
        <w:t>pan</w:t>
      </w:r>
      <w:r w:rsidR="004D7ADC">
        <w:t>-</w:t>
      </w:r>
      <w:r>
        <w:t xml:space="preserve">bacterial consortia from known gut microbiota </w:t>
      </w:r>
      <w:r w:rsidR="00C96E1B">
        <w:t>(five</w:t>
      </w:r>
      <w:r w:rsidR="00C96E1B" w:rsidRPr="00AE41E9">
        <w:rPr>
          <w:i/>
          <w:iCs/>
        </w:rPr>
        <w:t xml:space="preserve"> Firmicutes, </w:t>
      </w:r>
      <w:r w:rsidR="00C96E1B">
        <w:t xml:space="preserve">seven </w:t>
      </w:r>
      <w:r w:rsidR="00C96E1B" w:rsidRPr="00C96E1B">
        <w:t>Bacteroidetes</w:t>
      </w:r>
      <w:r w:rsidR="00C96E1B">
        <w:t xml:space="preserve">, one </w:t>
      </w:r>
      <w:r w:rsidR="00C96E1B" w:rsidRPr="00AE41E9">
        <w:rPr>
          <w:i/>
          <w:iCs/>
        </w:rPr>
        <w:t xml:space="preserve">Proteobacterium </w:t>
      </w:r>
      <w:r w:rsidR="00C96E1B">
        <w:t>(</w:t>
      </w:r>
      <w:r w:rsidR="00C96E1B" w:rsidRPr="00BF4382">
        <w:rPr>
          <w:i/>
          <w:iCs/>
        </w:rPr>
        <w:t>E. coli</w:t>
      </w:r>
      <w:r w:rsidR="00C96E1B">
        <w:t xml:space="preserve">) and one </w:t>
      </w:r>
      <w:r w:rsidR="00C96E1B" w:rsidRPr="00BF4382">
        <w:rPr>
          <w:i/>
          <w:iCs/>
        </w:rPr>
        <w:t xml:space="preserve">Actinobacterium </w:t>
      </w:r>
      <w:r w:rsidR="0082367B">
        <w:t>(</w:t>
      </w:r>
      <w:r w:rsidR="0082367B" w:rsidRPr="00BF4382">
        <w:rPr>
          <w:i/>
          <w:iCs/>
        </w:rPr>
        <w:t>Bifidobacterium</w:t>
      </w:r>
      <w:r w:rsidR="0082367B">
        <w:t xml:space="preserve"> </w:t>
      </w:r>
      <w:r w:rsidR="0082367B" w:rsidRPr="00AE41E9">
        <w:rPr>
          <w:i/>
          <w:iCs/>
        </w:rPr>
        <w:t xml:space="preserve">longum)) </w:t>
      </w:r>
      <w:r w:rsidR="0082367B" w:rsidRPr="00D73980">
        <w:rPr>
          <w:iCs/>
        </w:rPr>
        <w:t>and</w:t>
      </w:r>
      <w:r w:rsidR="0082367B" w:rsidRPr="00D73980">
        <w:t xml:space="preserve"> </w:t>
      </w:r>
      <w:r w:rsidR="0082367B">
        <w:t>in each case, omitted one species and observed the effect that the omission had on the growth of the rest. Inulin was the carbon source.</w:t>
      </w:r>
      <w:r w:rsidR="00BB148D">
        <w:t xml:space="preserve"> </w:t>
      </w:r>
      <w:r w:rsidR="0082367B">
        <w:t xml:space="preserve">Bacterial growth, colony composition, acetate, propionate, butyrate and lactate production were measured. Deletion of </w:t>
      </w:r>
      <w:r w:rsidR="0082367B" w:rsidRPr="00AE41E9">
        <w:rPr>
          <w:i/>
          <w:iCs/>
        </w:rPr>
        <w:t xml:space="preserve">E.coli </w:t>
      </w:r>
      <w:r w:rsidR="0082367B">
        <w:t xml:space="preserve">or </w:t>
      </w:r>
      <w:r w:rsidR="0082367B" w:rsidRPr="00AE41E9">
        <w:rPr>
          <w:i/>
          <w:iCs/>
        </w:rPr>
        <w:t xml:space="preserve">Bacillus thetaiotaomicron </w:t>
      </w:r>
      <w:r w:rsidR="0082367B" w:rsidRPr="005A1258">
        <w:t>resulted in increased growth</w:t>
      </w:r>
      <w:r w:rsidR="0082367B">
        <w:t xml:space="preserve"> whereas deletion of </w:t>
      </w:r>
      <w:r w:rsidR="0082367B" w:rsidRPr="00AE41E9">
        <w:rPr>
          <w:i/>
          <w:iCs/>
        </w:rPr>
        <w:t xml:space="preserve">Bacteroides dorei </w:t>
      </w:r>
      <w:r w:rsidR="0082367B">
        <w:t xml:space="preserve">or </w:t>
      </w:r>
      <w:r w:rsidR="0082367B" w:rsidRPr="00AE41E9">
        <w:rPr>
          <w:i/>
          <w:iCs/>
        </w:rPr>
        <w:t xml:space="preserve">Lachnoclostridium clostridioforme </w:t>
      </w:r>
      <w:r w:rsidR="0082367B">
        <w:t xml:space="preserve">reduced the growth rate, indicating that different species can have negative as well as positive effects on the community. </w:t>
      </w:r>
      <w:r w:rsidR="0082367B" w:rsidRPr="00AE41E9">
        <w:rPr>
          <w:i/>
          <w:iCs/>
        </w:rPr>
        <w:t>Bacteroides fragilis</w:t>
      </w:r>
      <w:r w:rsidR="0082367B">
        <w:t xml:space="preserve"> appeared to interfere with inulin metabolism since more of the substrate remained at the end of the incubation period in its presence than in its absence. The negative effect of </w:t>
      </w:r>
      <w:r w:rsidR="0082367B" w:rsidRPr="00AE41E9">
        <w:rPr>
          <w:i/>
          <w:iCs/>
        </w:rPr>
        <w:t>E.coli</w:t>
      </w:r>
      <w:r w:rsidR="0082367B">
        <w:t xml:space="preserve"> was also seen on the growth of the prominent inulin utiliser </w:t>
      </w:r>
      <w:r w:rsidR="0082367B" w:rsidRPr="00AE41E9">
        <w:rPr>
          <w:i/>
          <w:iCs/>
        </w:rPr>
        <w:t>Bifidobacterium adolescentis</w:t>
      </w:r>
      <w:r w:rsidR="0082367B">
        <w:t xml:space="preserve">, which increased its relative abundance to about 60% in the absence of </w:t>
      </w:r>
      <w:r w:rsidR="0082367B" w:rsidRPr="00AE41E9">
        <w:rPr>
          <w:i/>
          <w:iCs/>
        </w:rPr>
        <w:t>E.coli</w:t>
      </w:r>
      <w:r w:rsidR="0082367B">
        <w:t xml:space="preserve">. SCFAs increased </w:t>
      </w:r>
      <w:r w:rsidR="005204CE">
        <w:t xml:space="preserve">or </w:t>
      </w:r>
      <w:r w:rsidR="0082367B">
        <w:t>decreased depending upon the consortium composition</w:t>
      </w:r>
      <w:r w:rsidR="005204CE">
        <w:t>,</w:t>
      </w:r>
      <w:r w:rsidR="0082367B">
        <w:t xml:space="preserve"> with various species responsible for the production of different </w:t>
      </w:r>
      <w:r w:rsidR="00BB148D">
        <w:t>acids</w:t>
      </w:r>
      <w:r w:rsidR="0082367B">
        <w:t xml:space="preserve"> and downstream effects on other species. Thus, although there is functional redundancy, there are also keystone taxa that influence overall diversity and growth. The authors suggested that such studies could be used to design microbial consortia with desired metabolic features</w:t>
      </w:r>
      <w:r w:rsidR="006E593D">
        <w:t xml:space="preserve">. </w:t>
      </w:r>
    </w:p>
    <w:p w:rsidR="009A01AB" w:rsidRDefault="009A01AB" w:rsidP="00F40887">
      <w:pPr>
        <w:pStyle w:val="ListParagraph"/>
        <w:tabs>
          <w:tab w:val="left" w:pos="0"/>
        </w:tabs>
        <w:spacing w:before="240" w:line="240" w:lineRule="auto"/>
        <w:ind w:left="0"/>
      </w:pPr>
    </w:p>
    <w:p w:rsidR="006E593D" w:rsidRDefault="006E593D" w:rsidP="00F40887">
      <w:pPr>
        <w:pStyle w:val="ListParagraph"/>
        <w:numPr>
          <w:ilvl w:val="2"/>
          <w:numId w:val="1"/>
        </w:numPr>
        <w:tabs>
          <w:tab w:val="left" w:pos="0"/>
        </w:tabs>
        <w:spacing w:before="240" w:line="240" w:lineRule="auto"/>
        <w:ind w:left="0" w:firstLine="0"/>
      </w:pPr>
      <w:r>
        <w:t xml:space="preserve">Despite the above results illustrating the stability of the functions of the gut microbiota, Bradley and Pollard (2017) found that the expression of some genes </w:t>
      </w:r>
      <w:r w:rsidR="00D41E24">
        <w:t xml:space="preserve">showed </w:t>
      </w:r>
      <w:r>
        <w:t>significant variability between individuals</w:t>
      </w:r>
      <w:r w:rsidR="005C04D0">
        <w:t xml:space="preserve"> and that many metabolic pathways had at least one variable element.</w:t>
      </w:r>
      <w:r w:rsidR="00F80945">
        <w:t xml:space="preserve"> The presence of elevated titres of </w:t>
      </w:r>
      <w:r w:rsidR="00F80945" w:rsidRPr="009A01AB">
        <w:rPr>
          <w:i/>
          <w:iCs/>
        </w:rPr>
        <w:t>Proteobacteria</w:t>
      </w:r>
      <w:r w:rsidR="00F80945">
        <w:t xml:space="preserve"> and to a lesser extent the arch</w:t>
      </w:r>
      <w:r w:rsidR="007573E5">
        <w:t>a</w:t>
      </w:r>
      <w:r w:rsidR="00F80945">
        <w:t>eal phylum</w:t>
      </w:r>
      <w:r w:rsidR="00B82FF1">
        <w:t xml:space="preserve"> </w:t>
      </w:r>
      <w:r w:rsidR="00F80945" w:rsidRPr="009A01AB">
        <w:rPr>
          <w:i/>
          <w:iCs/>
        </w:rPr>
        <w:t>Euryarch</w:t>
      </w:r>
      <w:r w:rsidR="00B82FF1" w:rsidRPr="009A01AB">
        <w:rPr>
          <w:i/>
          <w:iCs/>
        </w:rPr>
        <w:t>a</w:t>
      </w:r>
      <w:r w:rsidR="00F80945" w:rsidRPr="009A01AB">
        <w:rPr>
          <w:i/>
          <w:iCs/>
        </w:rPr>
        <w:t>e</w:t>
      </w:r>
      <w:r w:rsidR="00B82FF1" w:rsidRPr="009A01AB">
        <w:rPr>
          <w:i/>
          <w:iCs/>
        </w:rPr>
        <w:t>ota</w:t>
      </w:r>
      <w:r w:rsidR="00B82FF1">
        <w:t xml:space="preserve"> were correlated with the expression of variable genes while, although there were taxonomic shifts in the </w:t>
      </w:r>
      <w:r w:rsidR="00B82FF1" w:rsidRPr="009A01AB">
        <w:rPr>
          <w:i/>
          <w:iCs/>
        </w:rPr>
        <w:t>Firmicutes</w:t>
      </w:r>
      <w:r w:rsidR="00B82FF1">
        <w:t xml:space="preserve"> and </w:t>
      </w:r>
      <w:r w:rsidR="00B82FF1" w:rsidRPr="009A01AB">
        <w:rPr>
          <w:i/>
          <w:iCs/>
        </w:rPr>
        <w:t>Bacteroidetes</w:t>
      </w:r>
      <w:r w:rsidR="00B82FF1">
        <w:t xml:space="preserve">, they did not seem to be major sources of variable genes. Since the </w:t>
      </w:r>
      <w:r w:rsidR="00B82FF1" w:rsidRPr="009A01AB">
        <w:rPr>
          <w:i/>
          <w:iCs/>
        </w:rPr>
        <w:t>Proteobacteria</w:t>
      </w:r>
      <w:r w:rsidR="00B82FF1">
        <w:t xml:space="preserve"> had previously been correlated with increased risk of metabolic syndrome and IBD, the authors suggested that the genes could be used as biomarkers for these conditions.</w:t>
      </w:r>
    </w:p>
    <w:p w:rsidR="009A01AB" w:rsidRDefault="009A01AB" w:rsidP="00F40887">
      <w:pPr>
        <w:pStyle w:val="ListParagraph"/>
      </w:pPr>
    </w:p>
    <w:p w:rsidR="0082367B" w:rsidRDefault="006E18D5" w:rsidP="00F40887">
      <w:pPr>
        <w:pStyle w:val="ListParagraph"/>
        <w:numPr>
          <w:ilvl w:val="2"/>
          <w:numId w:val="1"/>
        </w:numPr>
        <w:tabs>
          <w:tab w:val="left" w:pos="0"/>
        </w:tabs>
        <w:spacing w:before="240" w:line="240" w:lineRule="auto"/>
        <w:ind w:left="0" w:firstLine="0"/>
      </w:pPr>
      <w:r>
        <w:t xml:space="preserve">In the light of methodological trends in her lab and others, </w:t>
      </w:r>
      <w:r w:rsidR="0082367B">
        <w:t>Theriot (2018) speculated that “</w:t>
      </w:r>
      <w:r>
        <w:t>…the systems microbiology</w:t>
      </w:r>
      <w:r w:rsidRPr="006E18D5">
        <w:t xml:space="preserve"> </w:t>
      </w:r>
      <w:r>
        <w:t>field is going to be focused on targeted engineering and editing of the microbiome to alter function, which will be leveraged to prevent and/or treat human diseases</w:t>
      </w:r>
      <w:r w:rsidR="007644B6">
        <w:t xml:space="preserve">…” and “… newer model systems…such as organoids and bioreactors, will be advantageous in dissecting microbiome function.” </w:t>
      </w:r>
    </w:p>
    <w:p w:rsidR="009A01AB" w:rsidRDefault="009A01AB" w:rsidP="00F40887">
      <w:pPr>
        <w:pStyle w:val="ListParagraph"/>
      </w:pPr>
    </w:p>
    <w:p w:rsidR="000217DB" w:rsidRDefault="000217DB" w:rsidP="00FA6475">
      <w:pPr>
        <w:pStyle w:val="ListParagraph"/>
        <w:tabs>
          <w:tab w:val="left" w:pos="8222"/>
        </w:tabs>
      </w:pPr>
    </w:p>
    <w:p w:rsidR="00327423" w:rsidRDefault="00327423">
      <w:pPr>
        <w:pStyle w:val="ListParagraph"/>
        <w:tabs>
          <w:tab w:val="left" w:pos="0"/>
        </w:tabs>
        <w:spacing w:before="240" w:line="240" w:lineRule="auto"/>
        <w:ind w:left="0"/>
        <w:rPr>
          <w:b/>
          <w:bCs/>
        </w:rPr>
      </w:pPr>
    </w:p>
    <w:p w:rsidR="000217DB" w:rsidRPr="00FA6475" w:rsidRDefault="000217DB" w:rsidP="00FA6475">
      <w:pPr>
        <w:pStyle w:val="ListParagraph"/>
        <w:tabs>
          <w:tab w:val="left" w:pos="0"/>
        </w:tabs>
        <w:spacing w:before="240" w:line="240" w:lineRule="auto"/>
        <w:ind w:left="0"/>
        <w:rPr>
          <w:b/>
          <w:bCs/>
        </w:rPr>
      </w:pPr>
      <w:r w:rsidRPr="00FA6475">
        <w:rPr>
          <w:b/>
          <w:bCs/>
        </w:rPr>
        <w:t>Intestinal barrier</w:t>
      </w:r>
    </w:p>
    <w:p w:rsidR="000217DB" w:rsidRDefault="000217DB" w:rsidP="00FA6475">
      <w:pPr>
        <w:pStyle w:val="ListParagraph"/>
      </w:pPr>
    </w:p>
    <w:p w:rsidR="009E441D" w:rsidRPr="000217DB" w:rsidRDefault="006C5F84" w:rsidP="00F40887">
      <w:pPr>
        <w:pStyle w:val="ListParagraph"/>
        <w:numPr>
          <w:ilvl w:val="2"/>
          <w:numId w:val="1"/>
        </w:numPr>
        <w:tabs>
          <w:tab w:val="left" w:pos="0"/>
        </w:tabs>
        <w:spacing w:before="240" w:line="240" w:lineRule="auto"/>
        <w:ind w:left="0" w:firstLine="0"/>
      </w:pPr>
      <w:r>
        <w:rPr>
          <w:bCs/>
        </w:rPr>
        <w:t>The digestive tract has an enormous internal surface area and is a major interface with the external environment</w:t>
      </w:r>
      <w:r w:rsidR="00925950">
        <w:rPr>
          <w:bCs/>
        </w:rPr>
        <w:t xml:space="preserve">. </w:t>
      </w:r>
      <w:r w:rsidR="00D13828">
        <w:rPr>
          <w:bCs/>
        </w:rPr>
        <w:t xml:space="preserve">It functions as the site of nutrient uptake into the body, while at the same time it has to protect the organism from extraneous chemicals and microorganisms. </w:t>
      </w:r>
      <w:r w:rsidR="00925950">
        <w:rPr>
          <w:bCs/>
        </w:rPr>
        <w:t>Potentially pathogenic organisms are ingested with food, so it is vitally important for the health of the host that these pathogens are controlled and do not cause disease</w:t>
      </w:r>
      <w:r w:rsidR="00760C1F">
        <w:rPr>
          <w:bCs/>
        </w:rPr>
        <w:t xml:space="preserve">. The digestive tract of humans and other animals has evolved </w:t>
      </w:r>
      <w:r w:rsidR="00760C1F">
        <w:t xml:space="preserve">a number of structures and functions that act to prevent invasion </w:t>
      </w:r>
      <w:r w:rsidR="00D13828">
        <w:t xml:space="preserve">by </w:t>
      </w:r>
      <w:r w:rsidR="00760C1F">
        <w:t xml:space="preserve">pathogens, and these are collectively termed the intestinal barrier. </w:t>
      </w:r>
      <w:r w:rsidR="00760C1F" w:rsidRPr="000217DB">
        <w:rPr>
          <w:bCs/>
        </w:rPr>
        <w:t xml:space="preserve"> </w:t>
      </w:r>
      <w:r w:rsidR="00760C1F">
        <w:rPr>
          <w:bCs/>
        </w:rPr>
        <w:t>Synonyms such as gut, colonic, or colonisation barrier are also used in the literature.</w:t>
      </w:r>
      <w:r w:rsidR="000D259F">
        <w:rPr>
          <w:bCs/>
        </w:rPr>
        <w:t xml:space="preserve"> </w:t>
      </w:r>
      <w:r w:rsidR="00F12C70" w:rsidRPr="000217DB">
        <w:rPr>
          <w:bCs/>
        </w:rPr>
        <w:t>There are a number of recent reviews concerning the intestinal barrier and the role of the microbiota in its maintenance. For example</w:t>
      </w:r>
      <w:r w:rsidR="009E441D" w:rsidRPr="000217DB">
        <w:rPr>
          <w:bCs/>
        </w:rPr>
        <w:t>,</w:t>
      </w:r>
      <w:r w:rsidR="00F12C70" w:rsidRPr="000217DB">
        <w:rPr>
          <w:bCs/>
        </w:rPr>
        <w:t xml:space="preserve"> Takishi</w:t>
      </w:r>
      <w:r w:rsidR="00F12C70" w:rsidRPr="000217DB">
        <w:rPr>
          <w:bCs/>
          <w:i/>
          <w:iCs/>
        </w:rPr>
        <w:t xml:space="preserve"> et al</w:t>
      </w:r>
      <w:r w:rsidR="00F12C70" w:rsidRPr="000217DB">
        <w:rPr>
          <w:bCs/>
        </w:rPr>
        <w:t xml:space="preserve"> (2017), Shi </w:t>
      </w:r>
      <w:r w:rsidR="00F12C70" w:rsidRPr="000217DB">
        <w:rPr>
          <w:bCs/>
          <w:i/>
          <w:iCs/>
        </w:rPr>
        <w:t xml:space="preserve"> et </w:t>
      </w:r>
      <w:r w:rsidR="00F12C70" w:rsidRPr="00FA6475">
        <w:rPr>
          <w:bCs/>
          <w:i/>
          <w:iCs/>
        </w:rPr>
        <w:t>al</w:t>
      </w:r>
      <w:r w:rsidR="00F12C70" w:rsidRPr="000217DB">
        <w:rPr>
          <w:bCs/>
        </w:rPr>
        <w:t xml:space="preserve"> (2017), Walker (2014)</w:t>
      </w:r>
      <w:r w:rsidR="009E441D" w:rsidRPr="000217DB">
        <w:rPr>
          <w:bCs/>
        </w:rPr>
        <w:t xml:space="preserve">, Camilleri </w:t>
      </w:r>
      <w:r w:rsidR="009E441D" w:rsidRPr="000217DB">
        <w:rPr>
          <w:bCs/>
          <w:i/>
          <w:iCs/>
        </w:rPr>
        <w:t>et al</w:t>
      </w:r>
      <w:r w:rsidR="009E441D" w:rsidRPr="000217DB">
        <w:rPr>
          <w:bCs/>
        </w:rPr>
        <w:t xml:space="preserve"> (2017)</w:t>
      </w:r>
      <w:r w:rsidR="000217DB" w:rsidRPr="000217DB">
        <w:rPr>
          <w:bCs/>
        </w:rPr>
        <w:t>.</w:t>
      </w:r>
    </w:p>
    <w:p w:rsidR="000217DB" w:rsidRPr="000217DB" w:rsidRDefault="000217DB" w:rsidP="00755293">
      <w:pPr>
        <w:pStyle w:val="ListParagraph"/>
        <w:tabs>
          <w:tab w:val="left" w:pos="0"/>
          <w:tab w:val="left" w:pos="8080"/>
        </w:tabs>
        <w:spacing w:before="240" w:line="240" w:lineRule="auto"/>
        <w:ind w:left="0"/>
      </w:pPr>
    </w:p>
    <w:p w:rsidR="00615679" w:rsidRDefault="007354C0">
      <w:pPr>
        <w:pStyle w:val="ListParagraph"/>
        <w:numPr>
          <w:ilvl w:val="2"/>
          <w:numId w:val="1"/>
        </w:numPr>
        <w:tabs>
          <w:tab w:val="left" w:pos="0"/>
        </w:tabs>
        <w:spacing w:before="240" w:line="240" w:lineRule="auto"/>
        <w:ind w:left="0" w:firstLine="0"/>
      </w:pPr>
      <w:r>
        <w:t>Far from being a passive physical barrier</w:t>
      </w:r>
      <w:r w:rsidR="00234BA2">
        <w:t>,</w:t>
      </w:r>
      <w:r>
        <w:t xml:space="preserve"> the </w:t>
      </w:r>
      <w:r w:rsidR="00760C1F">
        <w:t xml:space="preserve">gut </w:t>
      </w:r>
      <w:r>
        <w:t>epithelium has a dynamic and responsive system to maintain its integrity</w:t>
      </w:r>
      <w:r w:rsidR="00D41E24">
        <w:t xml:space="preserve"> and </w:t>
      </w:r>
      <w:r w:rsidR="00234BA2">
        <w:t>different</w:t>
      </w:r>
      <w:r w:rsidR="00D41E24">
        <w:t xml:space="preserve"> functions </w:t>
      </w:r>
      <w:r w:rsidR="00234BA2">
        <w:t>operate depending upon the</w:t>
      </w:r>
      <w:r w:rsidR="00327423">
        <w:t>ir</w:t>
      </w:r>
      <w:r w:rsidR="00D41E24">
        <w:t xml:space="preserve"> </w:t>
      </w:r>
      <w:r w:rsidR="00615679">
        <w:t>proximity to the cellular layer</w:t>
      </w:r>
      <w:r w:rsidR="00490997">
        <w:t>. In the lumen, in addition to degradation of invading bacteria and antigens by gastric and pancreatic sec</w:t>
      </w:r>
      <w:r w:rsidR="00327423">
        <w:t>r</w:t>
      </w:r>
      <w:r w:rsidR="00490997">
        <w:t>e</w:t>
      </w:r>
      <w:r w:rsidR="00126AB3">
        <w:t>ti</w:t>
      </w:r>
      <w:r w:rsidR="00490997">
        <w:t xml:space="preserve">ons as they pass through the gut, commensal bacteria produce antimicrobial substances. The microclimate close to the epithelium </w:t>
      </w:r>
      <w:r w:rsidR="00126AB3">
        <w:t>(</w:t>
      </w:r>
      <w:r w:rsidR="00490997">
        <w:t>unstirred water layer, glycocalyx</w:t>
      </w:r>
      <w:r w:rsidR="00921386">
        <w:t xml:space="preserve"> (</w:t>
      </w:r>
      <w:r w:rsidR="00921386" w:rsidRPr="00FA6475">
        <w:rPr>
          <w:color w:val="222222"/>
          <w:szCs w:val="24"/>
          <w:shd w:val="clear" w:color="auto" w:fill="FFFFFF"/>
        </w:rPr>
        <w:t>a meshwork of carbohydrate moieties of glycolipids or glycoproteins, including transmembrane mucins</w:t>
      </w:r>
      <w:r w:rsidR="00921386">
        <w:rPr>
          <w:color w:val="222222"/>
          <w:sz w:val="27"/>
          <w:szCs w:val="27"/>
          <w:shd w:val="clear" w:color="auto" w:fill="FFFFFF"/>
        </w:rPr>
        <w:t>)</w:t>
      </w:r>
      <w:r w:rsidR="00490997">
        <w:t xml:space="preserve">, and </w:t>
      </w:r>
      <w:r w:rsidR="00656A3B">
        <w:t xml:space="preserve">the </w:t>
      </w:r>
      <w:r w:rsidR="00490997">
        <w:t>mucus layer</w:t>
      </w:r>
      <w:r w:rsidR="00656A3B">
        <w:t xml:space="preserve"> that is produced by epithelial goblet cells</w:t>
      </w:r>
      <w:r w:rsidR="00126AB3">
        <w:t>)</w:t>
      </w:r>
      <w:r w:rsidR="00490997">
        <w:t xml:space="preserve"> prevent</w:t>
      </w:r>
      <w:r w:rsidR="00126AB3">
        <w:t>s</w:t>
      </w:r>
      <w:r w:rsidR="00490997">
        <w:t xml:space="preserve"> bacterial adhesion and contains antimicrobial products secreted by Paneth cells</w:t>
      </w:r>
      <w:r w:rsidR="00F94AE3">
        <w:t xml:space="preserve"> (including </w:t>
      </w:r>
      <w:r w:rsidR="00F94AE3" w:rsidRPr="00FA6475">
        <w:rPr>
          <w:rFonts w:ascii="Symbol" w:hAnsi="Symbol"/>
        </w:rPr>
        <w:t></w:t>
      </w:r>
      <w:r w:rsidR="00F94AE3">
        <w:t xml:space="preserve">-defensins and </w:t>
      </w:r>
      <w:r w:rsidR="00772481">
        <w:t xml:space="preserve">the lectin </w:t>
      </w:r>
      <w:r w:rsidR="00F94AE3">
        <w:t>RegIII)</w:t>
      </w:r>
      <w:r w:rsidR="00490997">
        <w:t xml:space="preserve"> and secretory IgA from enterocytes. Below the unstirred water layer, glycocalyx, and mucus layer, </w:t>
      </w:r>
      <w:r w:rsidR="00126AB3">
        <w:t>the</w:t>
      </w:r>
      <w:r w:rsidR="00490997">
        <w:t xml:space="preserve"> epithelial cells </w:t>
      </w:r>
      <w:r w:rsidR="00126AB3">
        <w:t xml:space="preserve">are </w:t>
      </w:r>
      <w:r w:rsidR="00490997">
        <w:t xml:space="preserve">separated </w:t>
      </w:r>
      <w:r w:rsidR="00F94AE3">
        <w:t xml:space="preserve">by </w:t>
      </w:r>
      <w:r w:rsidR="00490997">
        <w:t>tight junction proteins</w:t>
      </w:r>
      <w:r w:rsidR="00327423">
        <w:t xml:space="preserve"> </w:t>
      </w:r>
      <w:r w:rsidR="00656A3B">
        <w:t xml:space="preserve">that inhibit </w:t>
      </w:r>
      <w:r w:rsidR="00234BA2">
        <w:t xml:space="preserve">physical </w:t>
      </w:r>
      <w:r w:rsidR="00656A3B">
        <w:t>passage through the cell layer.</w:t>
      </w:r>
      <w:r w:rsidR="00126AB3">
        <w:t xml:space="preserve"> </w:t>
      </w:r>
    </w:p>
    <w:p w:rsidR="00327423" w:rsidRPr="000217DB" w:rsidRDefault="00327423" w:rsidP="00FA6475">
      <w:pPr>
        <w:pStyle w:val="ListParagraph"/>
        <w:tabs>
          <w:tab w:val="left" w:pos="0"/>
        </w:tabs>
        <w:spacing w:before="240" w:line="240" w:lineRule="auto"/>
        <w:ind w:left="0"/>
      </w:pPr>
    </w:p>
    <w:p w:rsidR="00C96DEE" w:rsidRDefault="00727CEA" w:rsidP="00F40887">
      <w:pPr>
        <w:pStyle w:val="ListParagraph"/>
        <w:numPr>
          <w:ilvl w:val="2"/>
          <w:numId w:val="1"/>
        </w:numPr>
        <w:tabs>
          <w:tab w:val="left" w:pos="0"/>
        </w:tabs>
        <w:spacing w:before="240" w:line="240" w:lineRule="auto"/>
        <w:ind w:left="0" w:firstLine="0"/>
      </w:pPr>
      <w:r>
        <w:t xml:space="preserve">Interaction of </w:t>
      </w:r>
      <w:r w:rsidR="0060293B">
        <w:t xml:space="preserve">bacterial surface proteins with </w:t>
      </w:r>
      <w:r w:rsidR="00914B21">
        <w:t xml:space="preserve">Toll-like receptors </w:t>
      </w:r>
      <w:r w:rsidR="00B618F6">
        <w:t>(</w:t>
      </w:r>
      <w:r w:rsidR="0060293B">
        <w:t>TLRs</w:t>
      </w:r>
      <w:r w:rsidR="00B618F6">
        <w:t>)</w:t>
      </w:r>
      <w:r w:rsidR="00914B21">
        <w:t xml:space="preserve"> on epithelial and immune cells</w:t>
      </w:r>
      <w:r w:rsidR="0060293B">
        <w:t xml:space="preserve"> </w:t>
      </w:r>
      <w:r w:rsidR="004029E6">
        <w:t xml:space="preserve">leads to cytokine release that </w:t>
      </w:r>
      <w:r w:rsidR="00D73980">
        <w:t>promotes the</w:t>
      </w:r>
      <w:r w:rsidR="004029E6">
        <w:t xml:space="preserve"> differentiation of T-helper cells and maintains gut innate immune homeostasis</w:t>
      </w:r>
      <w:r w:rsidR="0066120B">
        <w:t xml:space="preserve"> (Okumura </w:t>
      </w:r>
      <w:r w:rsidR="0066120B">
        <w:rPr>
          <w:i/>
          <w:iCs/>
        </w:rPr>
        <w:t>et al</w:t>
      </w:r>
      <w:r w:rsidR="0066120B">
        <w:t xml:space="preserve"> (2017)</w:t>
      </w:r>
      <w:r w:rsidR="004029E6">
        <w:t>. The development of the commensal gut mic</w:t>
      </w:r>
      <w:r w:rsidR="00E8110C">
        <w:t>r</w:t>
      </w:r>
      <w:r w:rsidR="004029E6">
        <w:t>obial community in infancy</w:t>
      </w:r>
      <w:r w:rsidR="00E8110C">
        <w:t xml:space="preserve"> appears to lead to T-cell tolerance of these organisms and helps B cells mature into IgA producing cells</w:t>
      </w:r>
      <w:r w:rsidR="00402D1C">
        <w:t xml:space="preserve"> in structures such as Peyer’s Patches</w:t>
      </w:r>
      <w:r w:rsidR="005100CB">
        <w:rPr>
          <w:rStyle w:val="FootnoteReference"/>
        </w:rPr>
        <w:footnoteReference w:id="2"/>
      </w:r>
      <w:r w:rsidR="00E8110C">
        <w:t>.</w:t>
      </w:r>
    </w:p>
    <w:p w:rsidR="00402D1C" w:rsidRDefault="00402D1C" w:rsidP="00FA6475">
      <w:pPr>
        <w:pStyle w:val="ListParagraph"/>
        <w:tabs>
          <w:tab w:val="left" w:pos="0"/>
        </w:tabs>
        <w:spacing w:before="240" w:line="240" w:lineRule="auto"/>
        <w:ind w:left="0"/>
      </w:pPr>
    </w:p>
    <w:p w:rsidR="00D040B4" w:rsidRDefault="00D040B4" w:rsidP="00F40887">
      <w:pPr>
        <w:pStyle w:val="ListParagraph"/>
        <w:tabs>
          <w:tab w:val="left" w:pos="0"/>
        </w:tabs>
        <w:spacing w:before="240" w:line="240" w:lineRule="auto"/>
        <w:ind w:left="0"/>
      </w:pPr>
    </w:p>
    <w:p w:rsidR="00E8110C" w:rsidRDefault="00E82470" w:rsidP="00F40887">
      <w:pPr>
        <w:pStyle w:val="ListParagraph"/>
        <w:numPr>
          <w:ilvl w:val="2"/>
          <w:numId w:val="1"/>
        </w:numPr>
        <w:tabs>
          <w:tab w:val="left" w:pos="0"/>
        </w:tabs>
        <w:spacing w:before="240" w:line="240" w:lineRule="auto"/>
        <w:ind w:left="0" w:firstLine="0"/>
      </w:pPr>
      <w:r>
        <w:t>A</w:t>
      </w:r>
      <w:r w:rsidR="00B1031D">
        <w:t>s</w:t>
      </w:r>
      <w:r w:rsidR="007155E9">
        <w:t xml:space="preserve"> animals and people</w:t>
      </w:r>
      <w:r w:rsidR="00B1031D">
        <w:t xml:space="preserve"> age</w:t>
      </w:r>
      <w:r w:rsidR="007155E9">
        <w:t xml:space="preserve">, the </w:t>
      </w:r>
      <w:r w:rsidR="0054216D">
        <w:t xml:space="preserve">protective </w:t>
      </w:r>
      <w:r w:rsidR="007155E9">
        <w:t xml:space="preserve">immune functions of the gut appear to </w:t>
      </w:r>
      <w:r w:rsidR="0054216D">
        <w:t>decline</w:t>
      </w:r>
      <w:r w:rsidR="007155E9">
        <w:t xml:space="preserve">, leading to an increase in inflammatory cytokines and breakdown of the epithelial tight junctions, causing increased permeability (leaky gut). Bacterial populations change, with an increase in LPS producing species and a decrease in </w:t>
      </w:r>
      <w:r w:rsidR="007155E9" w:rsidRPr="00D040B4">
        <w:rPr>
          <w:i/>
          <w:iCs/>
        </w:rPr>
        <w:t xml:space="preserve">Firmicutes </w:t>
      </w:r>
      <w:r w:rsidR="007155E9">
        <w:t>species</w:t>
      </w:r>
      <w:r w:rsidR="00A272A9">
        <w:t xml:space="preserve"> (reviewed by Tak</w:t>
      </w:r>
      <w:r w:rsidR="007644B6">
        <w:t>i</w:t>
      </w:r>
      <w:r w:rsidR="00A272A9">
        <w:t xml:space="preserve">ishi </w:t>
      </w:r>
      <w:r w:rsidR="00A272A9" w:rsidRPr="00D040B4">
        <w:rPr>
          <w:i/>
          <w:iCs/>
        </w:rPr>
        <w:t>et al</w:t>
      </w:r>
      <w:r w:rsidR="00A272A9">
        <w:t>, 2017).</w:t>
      </w:r>
    </w:p>
    <w:p w:rsidR="00D040B4" w:rsidRDefault="00D040B4" w:rsidP="00F40887">
      <w:pPr>
        <w:pStyle w:val="ListParagraph"/>
      </w:pPr>
    </w:p>
    <w:p w:rsidR="00A272A9" w:rsidRDefault="00D545FD" w:rsidP="00F40887">
      <w:pPr>
        <w:pStyle w:val="ListParagraph"/>
        <w:numPr>
          <w:ilvl w:val="2"/>
          <w:numId w:val="1"/>
        </w:numPr>
        <w:tabs>
          <w:tab w:val="left" w:pos="0"/>
        </w:tabs>
        <w:spacing w:before="240" w:line="240" w:lineRule="auto"/>
        <w:ind w:left="0" w:firstLine="0"/>
      </w:pPr>
      <w:r>
        <w:t xml:space="preserve">Loke and Lim (2016) highlight a differential innate immune response </w:t>
      </w:r>
      <w:r w:rsidR="004E5C94">
        <w:t xml:space="preserve">in mice </w:t>
      </w:r>
      <w:r>
        <w:t xml:space="preserve">as a result of colonisation with the unicellular protozoan </w:t>
      </w:r>
      <w:r w:rsidRPr="00D040B4">
        <w:rPr>
          <w:i/>
          <w:iCs/>
        </w:rPr>
        <w:t>Tritic</w:t>
      </w:r>
      <w:r w:rsidR="00BF4382">
        <w:rPr>
          <w:i/>
          <w:iCs/>
        </w:rPr>
        <w:t>o</w:t>
      </w:r>
      <w:r w:rsidRPr="00D040B4">
        <w:rPr>
          <w:i/>
          <w:iCs/>
        </w:rPr>
        <w:t xml:space="preserve">monas muscule </w:t>
      </w:r>
      <w:r>
        <w:t>(</w:t>
      </w:r>
      <w:r w:rsidRPr="00D040B4">
        <w:rPr>
          <w:i/>
          <w:iCs/>
        </w:rPr>
        <w:t>T. mu</w:t>
      </w:r>
      <w:r>
        <w:t>)</w:t>
      </w:r>
      <w:r w:rsidR="0054216D">
        <w:t>,</w:t>
      </w:r>
      <w:r>
        <w:t xml:space="preserve"> which increases bacterial resistance at the expense of increased inflammation</w:t>
      </w:r>
      <w:r w:rsidR="0054216D">
        <w:t>,</w:t>
      </w:r>
      <w:r>
        <w:t xml:space="preserve"> and helminths, which appear to stimulate opposite responses.</w:t>
      </w:r>
      <w:r w:rsidR="004E5C94">
        <w:t xml:space="preserve"> Although there has been no equivalent finding in humans and the immunology of these organisms is still poorly described, it</w:t>
      </w:r>
      <w:r>
        <w:t xml:space="preserve"> points </w:t>
      </w:r>
      <w:r w:rsidR="0054216D">
        <w:t xml:space="preserve">to </w:t>
      </w:r>
      <w:r>
        <w:t xml:space="preserve">the potential for different classes of organisms to interact with each other and lead to changes in the immune balance of the gut and effects on host health. </w:t>
      </w:r>
      <w:r w:rsidR="00E82470">
        <w:t>The c</w:t>
      </w:r>
      <w:r>
        <w:t>hanges produced may be neither entirely detrimental nor entirely beneficial</w:t>
      </w:r>
      <w:r w:rsidR="00797916">
        <w:t>.</w:t>
      </w:r>
    </w:p>
    <w:p w:rsidR="00D040B4" w:rsidRDefault="00D040B4" w:rsidP="00F40887">
      <w:pPr>
        <w:pStyle w:val="ListParagraph"/>
      </w:pPr>
    </w:p>
    <w:p w:rsidR="00D040B4" w:rsidRDefault="00D040B4" w:rsidP="00F40887">
      <w:pPr>
        <w:pStyle w:val="ListParagraph"/>
      </w:pPr>
    </w:p>
    <w:p w:rsidR="00D040B4" w:rsidRDefault="00D040B4" w:rsidP="00F40887">
      <w:pPr>
        <w:pStyle w:val="ListParagraph"/>
      </w:pPr>
    </w:p>
    <w:p w:rsidR="00D040B4" w:rsidRPr="00D040B4" w:rsidRDefault="00D040B4" w:rsidP="00F40887">
      <w:pPr>
        <w:rPr>
          <w:b/>
        </w:rPr>
      </w:pPr>
      <w:r w:rsidRPr="00D040B4">
        <w:rPr>
          <w:b/>
        </w:rPr>
        <w:t>Effect of xenobiotics on the gut microbiota</w:t>
      </w:r>
    </w:p>
    <w:p w:rsidR="000864F0" w:rsidRDefault="00BB4556" w:rsidP="00F40887">
      <w:pPr>
        <w:pStyle w:val="ListParagraph"/>
        <w:numPr>
          <w:ilvl w:val="2"/>
          <w:numId w:val="1"/>
        </w:numPr>
        <w:tabs>
          <w:tab w:val="left" w:pos="0"/>
        </w:tabs>
        <w:spacing w:before="240" w:line="240" w:lineRule="auto"/>
        <w:ind w:left="0" w:firstLine="0"/>
      </w:pPr>
      <w:r w:rsidRPr="00BB4556">
        <w:t xml:space="preserve">The majority of experiments in the literature </w:t>
      </w:r>
      <w:r>
        <w:t>pertaining to the effects of xenobiotics on the gut microbiota have been performed in animals, mostly in mice. A brief description of recent</w:t>
      </w:r>
      <w:r w:rsidR="00FB4152">
        <w:t xml:space="preserve"> papers is given in</w:t>
      </w:r>
      <w:r w:rsidR="00AE2D7F">
        <w:t xml:space="preserve"> A</w:t>
      </w:r>
      <w:r w:rsidR="00095242">
        <w:t xml:space="preserve">ppendix 4 </w:t>
      </w:r>
      <w:r w:rsidR="00AE2D7F">
        <w:t xml:space="preserve">in </w:t>
      </w:r>
      <w:r w:rsidR="00FB4152">
        <w:t>Table</w:t>
      </w:r>
      <w:r w:rsidR="005D3F18">
        <w:t>s</w:t>
      </w:r>
      <w:r w:rsidR="00FB4152">
        <w:t xml:space="preserve"> 1</w:t>
      </w:r>
      <w:r w:rsidR="00D0015F">
        <w:t xml:space="preserve"> (metals), 2 (pesticides), 3 (antibiotics) and 4 (miscellaneous). While changes on rodent gut flora may not relate</w:t>
      </w:r>
      <w:r w:rsidR="00AE2D7F">
        <w:t xml:space="preserve"> directly to</w:t>
      </w:r>
      <w:r w:rsidR="00D0015F">
        <w:t xml:space="preserve"> </w:t>
      </w:r>
      <w:r w:rsidR="004C4CED">
        <w:t xml:space="preserve">the changes that may take place in humans, they </w:t>
      </w:r>
      <w:r w:rsidR="004251E8">
        <w:t xml:space="preserve">indicate </w:t>
      </w:r>
      <w:r w:rsidR="00E76682">
        <w:t xml:space="preserve">the type of </w:t>
      </w:r>
      <w:r w:rsidR="004251E8">
        <w:t xml:space="preserve">effect </w:t>
      </w:r>
      <w:r w:rsidR="00E76682">
        <w:t xml:space="preserve">that </w:t>
      </w:r>
      <w:r w:rsidR="00406009">
        <w:t>might</w:t>
      </w:r>
      <w:r w:rsidR="00E76682">
        <w:t xml:space="preserve"> </w:t>
      </w:r>
      <w:r w:rsidR="004251E8">
        <w:t>be caused, which may not be possible or ethical to show with humans.</w:t>
      </w:r>
      <w:r w:rsidR="000864F0">
        <w:t xml:space="preserve"> The findings are briefly summarised below:</w:t>
      </w:r>
    </w:p>
    <w:p w:rsidR="00D040B4" w:rsidRDefault="00D040B4" w:rsidP="00F40887">
      <w:pPr>
        <w:pStyle w:val="ListParagraph"/>
        <w:tabs>
          <w:tab w:val="left" w:pos="0"/>
        </w:tabs>
        <w:spacing w:before="240" w:line="240" w:lineRule="auto"/>
        <w:ind w:left="0"/>
      </w:pPr>
    </w:p>
    <w:p w:rsidR="002E5330" w:rsidRDefault="000864F0" w:rsidP="00F40887">
      <w:pPr>
        <w:pStyle w:val="ListParagraph"/>
        <w:numPr>
          <w:ilvl w:val="2"/>
          <w:numId w:val="1"/>
        </w:numPr>
        <w:tabs>
          <w:tab w:val="left" w:pos="0"/>
        </w:tabs>
        <w:spacing w:before="240" w:line="240" w:lineRule="auto"/>
        <w:ind w:left="0" w:firstLine="0"/>
      </w:pPr>
      <w:r>
        <w:t>In t</w:t>
      </w:r>
      <w:r w:rsidR="00DE1B4D">
        <w:t>he animal studies</w:t>
      </w:r>
      <w:r w:rsidR="0033007D">
        <w:t xml:space="preserve">, xenobiotics </w:t>
      </w:r>
      <w:r w:rsidR="00406009">
        <w:t xml:space="preserve">in </w:t>
      </w:r>
      <w:r w:rsidR="0033007D">
        <w:t xml:space="preserve">all </w:t>
      </w:r>
      <w:r w:rsidR="00406009">
        <w:t>four groups</w:t>
      </w:r>
      <w:r w:rsidR="00DF0846">
        <w:t xml:space="preserve">, </w:t>
      </w:r>
      <w:r w:rsidR="00A41436">
        <w:t xml:space="preserve">either </w:t>
      </w:r>
      <w:r w:rsidR="004162BF">
        <w:t>gavage dosed or administered in the diet or drinking water,</w:t>
      </w:r>
      <w:r w:rsidR="00A41436">
        <w:t xml:space="preserve"> </w:t>
      </w:r>
      <w:r w:rsidR="00406009">
        <w:t xml:space="preserve">could </w:t>
      </w:r>
      <w:r w:rsidR="0033007D">
        <w:t>affect the balance of the</w:t>
      </w:r>
      <w:r w:rsidR="00701725">
        <w:t xml:space="preserve"> bacterial</w:t>
      </w:r>
      <w:r w:rsidR="0033007D">
        <w:t xml:space="preserve"> phyla in the gut</w:t>
      </w:r>
      <w:r w:rsidR="008408C2">
        <w:t xml:space="preserve">. Heavy metals such as arsenic, cadmium and lead tended to reduce the </w:t>
      </w:r>
      <w:r w:rsidR="008408C2" w:rsidRPr="00D040B4">
        <w:rPr>
          <w:i/>
        </w:rPr>
        <w:t>F/B</w:t>
      </w:r>
      <w:r w:rsidR="008408C2">
        <w:t xml:space="preserve"> ratio and lead to reduced SCFA production</w:t>
      </w:r>
      <w:r w:rsidR="00D040B4">
        <w:t xml:space="preserve"> </w:t>
      </w:r>
      <w:r w:rsidR="00344BE0">
        <w:t>and</w:t>
      </w:r>
      <w:r w:rsidR="008408C2">
        <w:t xml:space="preserve"> increased oxidative stress. Iron, copper and nanoparticulate titanium, silver and gold tended to increase the F/B ratio but also </w:t>
      </w:r>
      <w:r w:rsidR="00E70D35">
        <w:t xml:space="preserve">reduced SCFA production. </w:t>
      </w:r>
      <w:r w:rsidR="00DD63C3">
        <w:t>All of the metals tested affected v</w:t>
      </w:r>
      <w:r w:rsidR="00E70D35">
        <w:t>arious</w:t>
      </w:r>
      <w:r w:rsidR="004162BF">
        <w:t xml:space="preserve"> bacterial</w:t>
      </w:r>
      <w:r w:rsidR="00E70D35">
        <w:t xml:space="preserve"> genera to different degrees.</w:t>
      </w:r>
    </w:p>
    <w:p w:rsidR="00D040B4" w:rsidRDefault="00D040B4" w:rsidP="00F40887">
      <w:pPr>
        <w:pStyle w:val="ListParagraph"/>
      </w:pPr>
    </w:p>
    <w:p w:rsidR="00186B36" w:rsidRDefault="00C97190" w:rsidP="00F40887">
      <w:pPr>
        <w:pStyle w:val="ListParagraph"/>
        <w:numPr>
          <w:ilvl w:val="2"/>
          <w:numId w:val="1"/>
        </w:numPr>
        <w:tabs>
          <w:tab w:val="left" w:pos="0"/>
        </w:tabs>
        <w:spacing w:before="240" w:line="240" w:lineRule="auto"/>
        <w:ind w:left="0" w:firstLine="0"/>
      </w:pPr>
      <w:r>
        <w:t>Organophosphate insecticides (chlorpyrifos, diazinon and malathion) and the carbamate aldicarb, which all exert their intended activity via acetylcholinesterase inhibition</w:t>
      </w:r>
      <w:r w:rsidR="006E4134">
        <w:t>,</w:t>
      </w:r>
      <w:r>
        <w:t xml:space="preserve"> were not found to have any single </w:t>
      </w:r>
      <w:r w:rsidR="004162BF">
        <w:t xml:space="preserve">consistent </w:t>
      </w:r>
      <w:r>
        <w:t>effect on the microbiota but all affected the taxonomic balance to certain degrees. Different studies found an increase in oxidative stress, greater expression of virulence genes</w:t>
      </w:r>
      <w:r w:rsidR="004D0740">
        <w:t xml:space="preserve"> and </w:t>
      </w:r>
      <w:r w:rsidR="008F54C9">
        <w:t>effects on host lipid metabolism. Glyphosate also affected the taxonomic balance but, in one study, this effect was found to be reduced in the presence of pre-formed aromatic amino acids in the gut.</w:t>
      </w:r>
    </w:p>
    <w:p w:rsidR="00D040B4" w:rsidRDefault="00D040B4" w:rsidP="00F40887">
      <w:pPr>
        <w:pStyle w:val="ListParagraph"/>
      </w:pPr>
    </w:p>
    <w:p w:rsidR="00186B36" w:rsidRDefault="001C2DC6" w:rsidP="00F40887">
      <w:pPr>
        <w:pStyle w:val="ListParagraph"/>
        <w:numPr>
          <w:ilvl w:val="2"/>
          <w:numId w:val="1"/>
        </w:numPr>
        <w:tabs>
          <w:tab w:val="left" w:pos="0"/>
        </w:tabs>
        <w:spacing w:before="240" w:line="240" w:lineRule="auto"/>
        <w:ind w:left="0" w:firstLine="0"/>
      </w:pPr>
      <w:r>
        <w:t>Oral a</w:t>
      </w:r>
      <w:r w:rsidR="00DD44A3">
        <w:t>ntibiotics (lactams and non-lactams) changed the balance of microbiota by decreasing some taxa but also by increasing others. In some cases, resistance to the antibiotic used increased.</w:t>
      </w:r>
      <w:r w:rsidR="00DD44A3" w:rsidRPr="00DD44A3">
        <w:t xml:space="preserve"> </w:t>
      </w:r>
      <w:r w:rsidR="00DD44A3">
        <w:t xml:space="preserve">The study of Zhang </w:t>
      </w:r>
      <w:r w:rsidR="00DD44A3" w:rsidRPr="00D040B4">
        <w:rPr>
          <w:i/>
        </w:rPr>
        <w:t xml:space="preserve">et al </w:t>
      </w:r>
      <w:r w:rsidR="00DD44A3">
        <w:t xml:space="preserve">(2013) indicated that knowledge of the pharmacokinetics of an antibiotic </w:t>
      </w:r>
      <w:r w:rsidR="0010625C">
        <w:t>c</w:t>
      </w:r>
      <w:r w:rsidR="00DD44A3">
        <w:t xml:space="preserve">ould be used to </w:t>
      </w:r>
      <w:r w:rsidR="007548B3">
        <w:t xml:space="preserve">tailor how it should be used </w:t>
      </w:r>
      <w:r w:rsidR="00406009">
        <w:t xml:space="preserve">clinically </w:t>
      </w:r>
      <w:r w:rsidR="007548B3">
        <w:t>to best leave the gut flora unaffected, i.e. if it is not excreted in bile then a parenteral route could be used.</w:t>
      </w:r>
      <w:r w:rsidR="00DD44A3">
        <w:t xml:space="preserve"> </w:t>
      </w:r>
    </w:p>
    <w:p w:rsidR="00D040B4" w:rsidRDefault="00D040B4" w:rsidP="00F40887">
      <w:pPr>
        <w:pStyle w:val="ListParagraph"/>
      </w:pPr>
    </w:p>
    <w:p w:rsidR="005E290F" w:rsidRPr="008F56A6" w:rsidRDefault="0010625C" w:rsidP="00EB4F4E">
      <w:pPr>
        <w:pStyle w:val="ListParagraph"/>
        <w:numPr>
          <w:ilvl w:val="2"/>
          <w:numId w:val="1"/>
        </w:numPr>
        <w:tabs>
          <w:tab w:val="left" w:pos="0"/>
        </w:tabs>
        <w:spacing w:before="240" w:line="240" w:lineRule="auto"/>
        <w:ind w:left="0" w:firstLine="0"/>
      </w:pPr>
      <w:r>
        <w:t>A range of other compounds ha</w:t>
      </w:r>
      <w:r w:rsidR="008767AF">
        <w:t>s</w:t>
      </w:r>
      <w:r>
        <w:t xml:space="preserve"> been tested on the gut microbiota of rats and mice. Th</w:t>
      </w:r>
      <w:r w:rsidR="008767AF">
        <w:t>is</w:t>
      </w:r>
      <w:r>
        <w:t xml:space="preserve"> include</w:t>
      </w:r>
      <w:r w:rsidR="008767AF">
        <w:t>s</w:t>
      </w:r>
      <w:r>
        <w:t xml:space="preserve"> artificial sweeteners, mycotoxins, ethanol, dioxins, flame retardants</w:t>
      </w:r>
      <w:r w:rsidR="008F56A6">
        <w:t xml:space="preserve">, </w:t>
      </w:r>
      <w:r>
        <w:t>BPA</w:t>
      </w:r>
      <w:r w:rsidR="008F56A6">
        <w:t xml:space="preserve"> and recently (Young </w:t>
      </w:r>
      <w:r w:rsidR="008F56A6" w:rsidRPr="008F56A6">
        <w:rPr>
          <w:i/>
          <w:iCs/>
        </w:rPr>
        <w:t>et al</w:t>
      </w:r>
      <w:r w:rsidR="008F56A6">
        <w:t>, 2020),</w:t>
      </w:r>
      <w:r>
        <w:t xml:space="preserve"> </w:t>
      </w:r>
      <w:r w:rsidR="005C29F6">
        <w:t xml:space="preserve">industrial </w:t>
      </w:r>
      <w:r w:rsidR="008F56A6" w:rsidRPr="008F56A6">
        <w:rPr>
          <w:rFonts w:ascii="Segoe UI" w:hAnsi="Segoe UI" w:cs="Segoe UI"/>
          <w:color w:val="212121"/>
          <w:shd w:val="clear" w:color="auto" w:fill="FFFFFF"/>
        </w:rPr>
        <w:t xml:space="preserve">methylimidazolium </w:t>
      </w:r>
      <w:r w:rsidR="008F56A6" w:rsidRPr="008F56A6">
        <w:rPr>
          <w:rFonts w:cs="Arial"/>
          <w:color w:val="212121"/>
          <w:shd w:val="clear" w:color="auto" w:fill="FFFFFF"/>
        </w:rPr>
        <w:t>ionic liquid</w:t>
      </w:r>
      <w:r w:rsidR="008F56A6">
        <w:rPr>
          <w:rFonts w:cs="Arial"/>
          <w:color w:val="212121"/>
          <w:shd w:val="clear" w:color="auto" w:fill="FFFFFF"/>
        </w:rPr>
        <w:t>s</w:t>
      </w:r>
      <w:r w:rsidR="001C2DC6">
        <w:rPr>
          <w:rFonts w:cs="Arial"/>
          <w:color w:val="212121"/>
          <w:shd w:val="clear" w:color="auto" w:fill="FFFFFF"/>
        </w:rPr>
        <w:t xml:space="preserve">, for example </w:t>
      </w:r>
      <w:r w:rsidR="001C2DC6" w:rsidRPr="00FA6475">
        <w:rPr>
          <w:rFonts w:ascii="ArialMT" w:eastAsia="Times New Roman" w:hAnsi="ArialMT"/>
          <w:color w:val="000000"/>
          <w:szCs w:val="24"/>
        </w:rPr>
        <w:t>1</w:t>
      </w:r>
      <w:r w:rsidR="001C2DC6">
        <w:rPr>
          <w:rFonts w:ascii="ArialMT" w:eastAsia="Times New Roman" w:hAnsi="ArialMT"/>
          <w:color w:val="000000"/>
          <w:szCs w:val="24"/>
        </w:rPr>
        <w:t>-</w:t>
      </w:r>
      <w:r w:rsidR="001C2DC6" w:rsidRPr="00FA6475">
        <w:rPr>
          <w:rFonts w:ascii="ArialMT" w:eastAsia="Times New Roman" w:hAnsi="ArialMT"/>
          <w:color w:val="000000"/>
          <w:szCs w:val="24"/>
        </w:rPr>
        <w:t>octyl</w:t>
      </w:r>
      <w:r w:rsidR="001C2DC6">
        <w:rPr>
          <w:rFonts w:ascii="ArialMT" w:eastAsia="Times New Roman" w:hAnsi="ArialMT"/>
          <w:color w:val="000000"/>
          <w:szCs w:val="24"/>
        </w:rPr>
        <w:t xml:space="preserve">, </w:t>
      </w:r>
      <w:r w:rsidR="001C2DC6" w:rsidRPr="00FA6475">
        <w:rPr>
          <w:rFonts w:ascii="ArialMT" w:eastAsia="Times New Roman" w:hAnsi="ArialMT"/>
          <w:color w:val="000000"/>
          <w:szCs w:val="24"/>
        </w:rPr>
        <w:t>3</w:t>
      </w:r>
      <w:r w:rsidR="001C2DC6">
        <w:rPr>
          <w:rFonts w:ascii="ArialMT" w:eastAsia="Times New Roman" w:hAnsi="ArialMT"/>
          <w:color w:val="000000"/>
          <w:szCs w:val="24"/>
        </w:rPr>
        <w:t>-</w:t>
      </w:r>
      <w:r w:rsidR="001C2DC6" w:rsidRPr="00FA6475">
        <w:rPr>
          <w:rFonts w:ascii="ArialMT" w:eastAsia="Times New Roman" w:hAnsi="ArialMT"/>
          <w:color w:val="000000"/>
          <w:szCs w:val="24"/>
        </w:rPr>
        <w:t>methylimidazolium chloride</w:t>
      </w:r>
      <w:r w:rsidR="001C2DC6">
        <w:rPr>
          <w:rFonts w:ascii="ArialMT" w:eastAsia="Times New Roman" w:hAnsi="ArialMT"/>
          <w:color w:val="000000"/>
          <w:szCs w:val="24"/>
        </w:rPr>
        <w:t>.</w:t>
      </w:r>
      <w:r w:rsidR="008F56A6">
        <w:t xml:space="preserve"> </w:t>
      </w:r>
      <w:r w:rsidR="00406009">
        <w:t xml:space="preserve">These </w:t>
      </w:r>
      <w:r>
        <w:t>studies found a variety of taxonomic changes, sometimes with increase</w:t>
      </w:r>
      <w:r w:rsidR="00C2449E">
        <w:t>s in potentially inflammatory conditions and decrease</w:t>
      </w:r>
      <w:r w:rsidR="00406009">
        <w:t>s</w:t>
      </w:r>
      <w:r w:rsidR="00C2449E">
        <w:t xml:space="preserve"> in “beneficial” bacteria, although this was not </w:t>
      </w:r>
      <w:r w:rsidR="00304AD6">
        <w:t xml:space="preserve">always </w:t>
      </w:r>
      <w:r w:rsidR="00C2449E">
        <w:t>the case.</w:t>
      </w:r>
      <w:r w:rsidR="007853A3">
        <w:t xml:space="preserve"> </w:t>
      </w:r>
    </w:p>
    <w:p w:rsidR="008F56A6" w:rsidRDefault="008F56A6" w:rsidP="008F56A6">
      <w:pPr>
        <w:pStyle w:val="ListParagraph"/>
        <w:tabs>
          <w:tab w:val="left" w:pos="0"/>
        </w:tabs>
        <w:spacing w:before="240" w:line="240" w:lineRule="auto"/>
        <w:ind w:left="0"/>
      </w:pPr>
    </w:p>
    <w:p w:rsidR="00E721A1" w:rsidRDefault="00E721A1" w:rsidP="00F40887">
      <w:pPr>
        <w:pStyle w:val="ListParagraph"/>
        <w:numPr>
          <w:ilvl w:val="2"/>
          <w:numId w:val="1"/>
        </w:numPr>
        <w:tabs>
          <w:tab w:val="left" w:pos="0"/>
        </w:tabs>
        <w:spacing w:before="240" w:line="240" w:lineRule="auto"/>
        <w:ind w:left="0" w:firstLine="0"/>
      </w:pPr>
      <w:r>
        <w:t xml:space="preserve">Wheeler </w:t>
      </w:r>
      <w:r w:rsidRPr="005E290F">
        <w:rPr>
          <w:i/>
          <w:iCs/>
        </w:rPr>
        <w:t>et al</w:t>
      </w:r>
      <w:r>
        <w:t xml:space="preserve"> (2016) </w:t>
      </w:r>
      <w:r w:rsidR="0004248A">
        <w:t>t</w:t>
      </w:r>
      <w:r>
        <w:t>ested the effects of the fungicide fluconazole on the gut mycobiota of mice and found changes in the titre of various species (</w:t>
      </w:r>
      <w:r w:rsidRPr="005E290F">
        <w:rPr>
          <w:i/>
          <w:iCs/>
        </w:rPr>
        <w:t>Candida spp</w:t>
      </w:r>
      <w:r>
        <w:t xml:space="preserve"> </w:t>
      </w:r>
      <w:r w:rsidR="00304AD6">
        <w:t>decreased</w:t>
      </w:r>
      <w:r>
        <w:t xml:space="preserve">, </w:t>
      </w:r>
      <w:r w:rsidRPr="005E290F">
        <w:rPr>
          <w:i/>
          <w:iCs/>
        </w:rPr>
        <w:t>Aspergillus spp</w:t>
      </w:r>
      <w:r>
        <w:t xml:space="preserve"> and others </w:t>
      </w:r>
      <w:r w:rsidR="00732ABF">
        <w:t>increased</w:t>
      </w:r>
      <w:r>
        <w:t xml:space="preserve">) that were concomitant with increased severity of </w:t>
      </w:r>
      <w:r w:rsidR="001C2DC6">
        <w:t>dextran sodium sul</w:t>
      </w:r>
      <w:r w:rsidR="00056900">
        <w:t>f</w:t>
      </w:r>
      <w:r w:rsidR="001C2DC6">
        <w:t>ate (</w:t>
      </w:r>
      <w:r>
        <w:t>DSS</w:t>
      </w:r>
      <w:r w:rsidR="001C2DC6">
        <w:t>)</w:t>
      </w:r>
      <w:r>
        <w:t>-induced colitis and house-dust-mite-extract-induced allergic airway disease.</w:t>
      </w:r>
    </w:p>
    <w:p w:rsidR="005E290F" w:rsidRDefault="005E290F" w:rsidP="00F40887">
      <w:pPr>
        <w:pStyle w:val="ListParagraph"/>
      </w:pPr>
    </w:p>
    <w:p w:rsidR="003009F9" w:rsidRDefault="00C2449E" w:rsidP="00F40887">
      <w:pPr>
        <w:pStyle w:val="ListParagraph"/>
        <w:numPr>
          <w:ilvl w:val="2"/>
          <w:numId w:val="1"/>
        </w:numPr>
        <w:tabs>
          <w:tab w:val="left" w:pos="0"/>
        </w:tabs>
        <w:spacing w:before="240" w:line="240" w:lineRule="auto"/>
        <w:ind w:left="0" w:firstLine="0"/>
      </w:pPr>
      <w:r>
        <w:t>The data from animal studies sugges</w:t>
      </w:r>
      <w:r w:rsidR="008767AF">
        <w:t>t</w:t>
      </w:r>
      <w:r>
        <w:t xml:space="preserve"> that almost anything consumed may have the effect of changing the balance of the gut microbiota, sometimes in what would appear to be a detrimental direction</w:t>
      </w:r>
      <w:r w:rsidR="00406009">
        <w:t>, albeit the relevance of the dose used was sometimes questionable</w:t>
      </w:r>
      <w:r w:rsidR="008767AF">
        <w:t>. This might</w:t>
      </w:r>
      <w:r>
        <w:t xml:space="preserve"> indicat</w:t>
      </w:r>
      <w:r w:rsidR="008767AF">
        <w:t>e</w:t>
      </w:r>
      <w:r>
        <w:t xml:space="preserve"> </w:t>
      </w:r>
      <w:r w:rsidR="00406009">
        <w:t xml:space="preserve">a potentially </w:t>
      </w:r>
      <w:r>
        <w:t xml:space="preserve">increased risk of </w:t>
      </w:r>
      <w:r w:rsidR="008767AF">
        <w:t xml:space="preserve">the </w:t>
      </w:r>
      <w:r>
        <w:t>growth of pathogens, reduction in</w:t>
      </w:r>
      <w:r w:rsidR="008767AF">
        <w:t xml:space="preserve"> both</w:t>
      </w:r>
      <w:r>
        <w:t xml:space="preserve"> the barrier function and </w:t>
      </w:r>
      <w:r w:rsidR="008767AF">
        <w:t xml:space="preserve">the </w:t>
      </w:r>
      <w:r>
        <w:t xml:space="preserve">health of the gut epithelium and thence </w:t>
      </w:r>
      <w:r w:rsidR="008767AF">
        <w:t xml:space="preserve">may lead to </w:t>
      </w:r>
      <w:r>
        <w:t xml:space="preserve">systemic effects on the host. However, results vary between studies: </w:t>
      </w:r>
      <w:r w:rsidR="00CD6111">
        <w:t>the parameters chosen to be</w:t>
      </w:r>
      <w:r>
        <w:t xml:space="preserve"> observed </w:t>
      </w:r>
      <w:r w:rsidR="00CD6111">
        <w:t>are</w:t>
      </w:r>
      <w:r>
        <w:t xml:space="preserve"> not the same in all cases</w:t>
      </w:r>
      <w:r w:rsidR="00CD6111">
        <w:t>,</w:t>
      </w:r>
      <w:r>
        <w:t xml:space="preserve"> conditions differ between studies</w:t>
      </w:r>
      <w:r w:rsidR="001F33B0">
        <w:t xml:space="preserve"> and there is little indication as to whether changes are </w:t>
      </w:r>
      <w:r w:rsidR="005E2FDB">
        <w:t xml:space="preserve">adverse </w:t>
      </w:r>
      <w:r w:rsidR="001F33B0">
        <w:t>or ad</w:t>
      </w:r>
      <w:r w:rsidR="00186B36">
        <w:t>ap</w:t>
      </w:r>
      <w:r w:rsidR="001F33B0">
        <w:t xml:space="preserve">tive. </w:t>
      </w:r>
      <w:r w:rsidR="00E35F6B">
        <w:t>Despite the often unphysiologically high concentrations of xenobiotics used in animal experiments in order to elicit a response,</w:t>
      </w:r>
      <w:r w:rsidR="004E03E0">
        <w:t xml:space="preserve"> </w:t>
      </w:r>
      <w:r w:rsidR="00E35F6B">
        <w:t>t</w:t>
      </w:r>
      <w:r w:rsidR="001F33B0">
        <w:t>here is also widespread extrapolation of results to the human conditio</w:t>
      </w:r>
      <w:r w:rsidR="00186B36">
        <w:t>n.</w:t>
      </w:r>
    </w:p>
    <w:p w:rsidR="005E290F" w:rsidRDefault="005E290F" w:rsidP="00F40887">
      <w:pPr>
        <w:pStyle w:val="ListParagraph"/>
      </w:pPr>
    </w:p>
    <w:p w:rsidR="005E290F" w:rsidRPr="005E290F" w:rsidRDefault="005E290F" w:rsidP="00F40887">
      <w:pPr>
        <w:spacing w:before="240"/>
        <w:rPr>
          <w:b/>
        </w:rPr>
      </w:pPr>
      <w:r w:rsidRPr="005E290F">
        <w:rPr>
          <w:b/>
        </w:rPr>
        <w:t xml:space="preserve">Human </w:t>
      </w:r>
      <w:r w:rsidRPr="003738AC">
        <w:rPr>
          <w:b/>
          <w:i/>
          <w:iCs/>
        </w:rPr>
        <w:t>in vivo</w:t>
      </w:r>
      <w:r w:rsidRPr="005E290F">
        <w:rPr>
          <w:b/>
        </w:rPr>
        <w:t xml:space="preserve"> and </w:t>
      </w:r>
      <w:r w:rsidRPr="003738AC">
        <w:rPr>
          <w:b/>
          <w:i/>
          <w:iCs/>
        </w:rPr>
        <w:t>in vitro</w:t>
      </w:r>
      <w:r w:rsidRPr="005E290F">
        <w:rPr>
          <w:b/>
        </w:rPr>
        <w:t xml:space="preserve"> studies</w:t>
      </w:r>
    </w:p>
    <w:p w:rsidR="005E290F" w:rsidRPr="005E290F" w:rsidRDefault="005E290F" w:rsidP="00F40887">
      <w:pPr>
        <w:spacing w:before="240"/>
        <w:rPr>
          <w:u w:val="single"/>
        </w:rPr>
      </w:pPr>
      <w:r w:rsidRPr="005E290F">
        <w:rPr>
          <w:u w:val="single"/>
        </w:rPr>
        <w:t>Metals</w:t>
      </w:r>
    </w:p>
    <w:p w:rsidR="00186B36" w:rsidRDefault="00186B36" w:rsidP="00F40887">
      <w:pPr>
        <w:pStyle w:val="ListParagraph"/>
        <w:numPr>
          <w:ilvl w:val="2"/>
          <w:numId w:val="1"/>
        </w:numPr>
        <w:tabs>
          <w:tab w:val="left" w:pos="0"/>
        </w:tabs>
        <w:spacing w:before="240" w:line="240" w:lineRule="auto"/>
        <w:ind w:left="0" w:firstLine="0"/>
      </w:pPr>
      <w:r w:rsidRPr="00F94FA9">
        <w:t xml:space="preserve">Dong </w:t>
      </w:r>
      <w:r w:rsidRPr="005E290F">
        <w:rPr>
          <w:i/>
        </w:rPr>
        <w:t>et al</w:t>
      </w:r>
      <w:r w:rsidRPr="00F94FA9">
        <w:t xml:space="preserve"> (2017) investigated the effects of arsenic </w:t>
      </w:r>
      <w:r w:rsidR="00E57D98">
        <w:t xml:space="preserve">(As) </w:t>
      </w:r>
      <w:r w:rsidRPr="00F94FA9">
        <w:t>in drinking water on the intestinal microbiota of Bangladeshi children. High arsenic concentrations (21</w:t>
      </w:r>
      <w:r w:rsidR="00917529">
        <w:t>9</w:t>
      </w:r>
      <w:r w:rsidR="005D3F18">
        <w:t xml:space="preserve"> </w:t>
      </w:r>
      <w:r w:rsidRPr="005E290F">
        <w:rPr>
          <w:u w:val="single"/>
        </w:rPr>
        <w:t>+</w:t>
      </w:r>
      <w:r w:rsidR="005D3F18">
        <w:rPr>
          <w:u w:val="single"/>
        </w:rPr>
        <w:t xml:space="preserve"> </w:t>
      </w:r>
      <w:r w:rsidRPr="00F94FA9">
        <w:t xml:space="preserve">166 </w:t>
      </w:r>
      <w:r w:rsidRPr="005E290F">
        <w:rPr>
          <w:rFonts w:ascii="Symbol" w:hAnsi="Symbol"/>
        </w:rPr>
        <w:t></w:t>
      </w:r>
      <w:r w:rsidRPr="00F94FA9">
        <w:t xml:space="preserve">g/l) correlated with a relative enrichment of bacteria in the </w:t>
      </w:r>
      <w:r w:rsidRPr="005E290F">
        <w:rPr>
          <w:i/>
        </w:rPr>
        <w:t>Proteobacteria</w:t>
      </w:r>
      <w:r w:rsidRPr="00F94FA9">
        <w:t xml:space="preserve"> phylum (p&lt;0.03) without statistically significant effects on the </w:t>
      </w:r>
      <w:r w:rsidRPr="005E290F">
        <w:rPr>
          <w:i/>
        </w:rPr>
        <w:t xml:space="preserve">Bacteroidetes, Firmicutes </w:t>
      </w:r>
      <w:r w:rsidRPr="00F94FA9">
        <w:t>or</w:t>
      </w:r>
      <w:r w:rsidRPr="005E290F">
        <w:rPr>
          <w:i/>
        </w:rPr>
        <w:t xml:space="preserve"> Actinobacteria</w:t>
      </w:r>
      <w:r w:rsidRPr="00F94FA9">
        <w:t xml:space="preserve">. Of 322 genes that showed increased expression in the presence of </w:t>
      </w:r>
      <w:r w:rsidR="00917529">
        <w:t xml:space="preserve">high </w:t>
      </w:r>
      <w:r w:rsidRPr="00F94FA9">
        <w:t xml:space="preserve">arsenic, 78% (258) were found to be in antibiotic resistant bacteria. The </w:t>
      </w:r>
      <w:r w:rsidRPr="005E290F">
        <w:rPr>
          <w:i/>
        </w:rPr>
        <w:t>E. coli</w:t>
      </w:r>
      <w:r w:rsidRPr="00F94FA9">
        <w:t xml:space="preserve"> genes associated with arsenic resistance that were seen in Bangladeshi children were not seen in children in a European cohort, where drinking water As levels are lower, suggesting that the Bangladeshi bacteria had adapted to the metal</w:t>
      </w:r>
      <w:r>
        <w:t>.</w:t>
      </w:r>
    </w:p>
    <w:p w:rsidR="005E290F" w:rsidRDefault="005E290F" w:rsidP="00F40887">
      <w:pPr>
        <w:pStyle w:val="ListParagraph"/>
        <w:tabs>
          <w:tab w:val="left" w:pos="0"/>
        </w:tabs>
        <w:spacing w:before="240" w:line="240" w:lineRule="auto"/>
        <w:ind w:left="0"/>
      </w:pPr>
    </w:p>
    <w:p w:rsidR="00186B36" w:rsidRDefault="00186B36" w:rsidP="00F40887">
      <w:pPr>
        <w:pStyle w:val="ListParagraph"/>
        <w:numPr>
          <w:ilvl w:val="2"/>
          <w:numId w:val="1"/>
        </w:numPr>
        <w:tabs>
          <w:tab w:val="left" w:pos="0"/>
        </w:tabs>
        <w:spacing w:before="240" w:line="240" w:lineRule="auto"/>
        <w:ind w:left="0" w:firstLine="0"/>
      </w:pPr>
      <w:r>
        <w:t xml:space="preserve">Calatayud </w:t>
      </w:r>
      <w:r w:rsidRPr="005E290F">
        <w:rPr>
          <w:i/>
        </w:rPr>
        <w:t>et al</w:t>
      </w:r>
      <w:r>
        <w:t xml:space="preserve"> (2018) used a SHIME (</w:t>
      </w:r>
      <w:r w:rsidRPr="00F94FA9">
        <w:t>Simulator of the Human Intestinal Microbial Ecosystem)</w:t>
      </w:r>
      <w:r>
        <w:t xml:space="preserve"> </w:t>
      </w:r>
      <w:r w:rsidRPr="003738AC">
        <w:rPr>
          <w:i/>
          <w:iCs/>
        </w:rPr>
        <w:t>in vitro</w:t>
      </w:r>
      <w:r>
        <w:t xml:space="preserve"> model system of the human gut microbiota to investigate the role of salivary and gut microbiota in the bioaccessibility, biotransformation and intestinal absorption of arsenic from different foodstuffs: mussels, seaweed and rice. Colonic conditions were simulated by adding donated faecal samples to a nitrogen-flushed bioreactor</w:t>
      </w:r>
      <w:r w:rsidRPr="00F94FA9">
        <w:t>.</w:t>
      </w:r>
      <w:r>
        <w:t xml:space="preserve"> Caco-2 cell monolayers were incubated with the digestion products. No arsenic appeared to be transported into the blood-resembling matrix, but bacteria-conditioned digestion of the food material led to 1.4 – 2.8-times greater cellular uptake compared with non-digested food.</w:t>
      </w:r>
    </w:p>
    <w:p w:rsidR="005E290F" w:rsidRDefault="005E290F" w:rsidP="00F40887">
      <w:pPr>
        <w:pStyle w:val="ListParagraph"/>
      </w:pPr>
    </w:p>
    <w:p w:rsidR="0079730A" w:rsidRDefault="0079730A" w:rsidP="00F40887">
      <w:pPr>
        <w:pStyle w:val="ListParagraph"/>
        <w:numPr>
          <w:ilvl w:val="2"/>
          <w:numId w:val="1"/>
        </w:numPr>
        <w:tabs>
          <w:tab w:val="left" w:pos="0"/>
        </w:tabs>
        <w:spacing w:before="240" w:line="240" w:lineRule="auto"/>
        <w:ind w:left="0" w:firstLine="0"/>
      </w:pPr>
      <w:r w:rsidRPr="00F94FA9">
        <w:t>Yin</w:t>
      </w:r>
      <w:r w:rsidRPr="005E290F">
        <w:rPr>
          <w:i/>
        </w:rPr>
        <w:t xml:space="preserve"> et al</w:t>
      </w:r>
      <w:r w:rsidRPr="00F94FA9">
        <w:t xml:space="preserve"> (2019) reported </w:t>
      </w:r>
      <w:r w:rsidR="00CD074C" w:rsidRPr="00F94FA9">
        <w:t xml:space="preserve">the production of nanoparticles </w:t>
      </w:r>
      <w:r w:rsidR="00917529">
        <w:t xml:space="preserve">from </w:t>
      </w:r>
      <w:r w:rsidR="00917529" w:rsidRPr="00F94FA9">
        <w:t xml:space="preserve">silver </w:t>
      </w:r>
      <w:r w:rsidR="00CD074C" w:rsidRPr="00F94FA9">
        <w:t>in a</w:t>
      </w:r>
      <w:r w:rsidR="00677F16">
        <w:t xml:space="preserve"> </w:t>
      </w:r>
      <w:r w:rsidR="00CD074C" w:rsidRPr="00F94FA9">
        <w:t>SHIME</w:t>
      </w:r>
      <w:r w:rsidR="00677F16">
        <w:t xml:space="preserve"> model.</w:t>
      </w:r>
      <w:r w:rsidR="00CD074C" w:rsidRPr="00F94FA9">
        <w:t xml:space="preserve"> Faecal samples were collected from two healthy volunteers and incubated in a solution containing 1 mM silver nitrate at 37</w:t>
      </w:r>
      <w:r w:rsidR="00CD074C" w:rsidRPr="005E290F">
        <w:rPr>
          <w:vertAlign w:val="superscript"/>
        </w:rPr>
        <w:t>o</w:t>
      </w:r>
      <w:r w:rsidR="00CD074C" w:rsidRPr="00F94FA9">
        <w:t xml:space="preserve">C for 48 hours. Spherical silver nanoparticles were observed under </w:t>
      </w:r>
      <w:r w:rsidR="00F17284" w:rsidRPr="00F94FA9">
        <w:t>transmission electron microscopy on the surface</w:t>
      </w:r>
      <w:r w:rsidR="008767AF">
        <w:t xml:space="preserve"> of</w:t>
      </w:r>
      <w:r w:rsidR="00F17284" w:rsidRPr="00F94FA9">
        <w:t xml:space="preserve"> and within microbial cells. The authors expressed concern that nanoparticles could be produce by gut microbiota, with unknown consequences for microbial and host health.</w:t>
      </w:r>
    </w:p>
    <w:p w:rsidR="005E290F" w:rsidRDefault="005E290F" w:rsidP="00F40887">
      <w:pPr>
        <w:pStyle w:val="ListParagraph"/>
      </w:pPr>
    </w:p>
    <w:p w:rsidR="00CE000F" w:rsidRDefault="001B5F30" w:rsidP="00F40887">
      <w:pPr>
        <w:pStyle w:val="ListParagraph"/>
        <w:numPr>
          <w:ilvl w:val="2"/>
          <w:numId w:val="1"/>
        </w:numPr>
        <w:tabs>
          <w:tab w:val="left" w:pos="0"/>
        </w:tabs>
        <w:spacing w:before="240" w:line="240" w:lineRule="auto"/>
        <w:ind w:left="0" w:firstLine="0"/>
      </w:pPr>
      <w:r w:rsidRPr="00F94FA9">
        <w:t>Catt</w:t>
      </w:r>
      <w:r w:rsidRPr="005E290F">
        <w:rPr>
          <w:rFonts w:cs="Arial"/>
        </w:rPr>
        <w:t>ò</w:t>
      </w:r>
      <w:r w:rsidR="003D0CB4" w:rsidRPr="00F94FA9">
        <w:t xml:space="preserve"> </w:t>
      </w:r>
      <w:r w:rsidR="003D0CB4" w:rsidRPr="005E290F">
        <w:rPr>
          <w:i/>
        </w:rPr>
        <w:t>et al</w:t>
      </w:r>
      <w:r w:rsidR="003D0CB4" w:rsidRPr="00F94FA9">
        <w:t xml:space="preserve"> (2019)</w:t>
      </w:r>
      <w:r w:rsidR="00A92114" w:rsidRPr="00F94FA9">
        <w:t xml:space="preserve"> studied the interactions between non-lethal concentrations of citrate-capped </w:t>
      </w:r>
      <w:r w:rsidR="00CD6111">
        <w:t>silver nanoparticles (</w:t>
      </w:r>
      <w:r w:rsidR="00A92114" w:rsidRPr="00F94FA9">
        <w:t>AgNP</w:t>
      </w:r>
      <w:r w:rsidR="007048F7">
        <w:t>)</w:t>
      </w:r>
      <w:r w:rsidR="00E16D4B" w:rsidRPr="00F94FA9">
        <w:t xml:space="preserve"> (1 </w:t>
      </w:r>
      <w:r w:rsidR="00E16D4B" w:rsidRPr="005E290F">
        <w:rPr>
          <w:rFonts w:ascii="Symbol" w:hAnsi="Symbol"/>
        </w:rPr>
        <w:t></w:t>
      </w:r>
      <w:r w:rsidR="00E16D4B" w:rsidRPr="00F94FA9">
        <w:t>g/ml final concentration)</w:t>
      </w:r>
      <w:r w:rsidR="00A92114" w:rsidRPr="00F94FA9">
        <w:t>, human intestinal microbiota</w:t>
      </w:r>
      <w:r w:rsidR="00122655" w:rsidRPr="00F94FA9">
        <w:t xml:space="preserve"> and a probiotic organism (</w:t>
      </w:r>
      <w:r w:rsidR="00122655" w:rsidRPr="005E290F">
        <w:rPr>
          <w:i/>
        </w:rPr>
        <w:t>Bacillus subtilis</w:t>
      </w:r>
      <w:r w:rsidR="00BA38D5" w:rsidRPr="005E290F">
        <w:rPr>
          <w:i/>
        </w:rPr>
        <w:t>, BS</w:t>
      </w:r>
      <w:r w:rsidR="00E16D4B" w:rsidRPr="005E290F">
        <w:rPr>
          <w:i/>
        </w:rPr>
        <w:t>,</w:t>
      </w:r>
      <w:r w:rsidR="00E16D4B" w:rsidRPr="00F94FA9">
        <w:t xml:space="preserve"> 10</w:t>
      </w:r>
      <w:r w:rsidR="00E16D4B" w:rsidRPr="005E290F">
        <w:rPr>
          <w:vertAlign w:val="superscript"/>
        </w:rPr>
        <w:t>7</w:t>
      </w:r>
      <w:r w:rsidR="00E16D4B" w:rsidRPr="00F94FA9">
        <w:t xml:space="preserve"> cells/ml</w:t>
      </w:r>
      <w:r w:rsidR="00122655" w:rsidRPr="00F94FA9">
        <w:t xml:space="preserve">) in an </w:t>
      </w:r>
      <w:r w:rsidR="00122655" w:rsidRPr="005E290F">
        <w:rPr>
          <w:i/>
        </w:rPr>
        <w:t>in vitro</w:t>
      </w:r>
      <w:r w:rsidR="00122655" w:rsidRPr="00F94FA9">
        <w:t xml:space="preserve"> batch incubation model.</w:t>
      </w:r>
      <w:r w:rsidR="00E16D4B" w:rsidRPr="00F94FA9">
        <w:t xml:space="preserve"> After 24 hours incubation, all conditions (control, AgNP, BS alone and</w:t>
      </w:r>
      <w:r w:rsidR="00BB4556">
        <w:t xml:space="preserve"> </w:t>
      </w:r>
      <w:r w:rsidR="00E16D4B" w:rsidRPr="00F94FA9">
        <w:t xml:space="preserve">AgNP-BS) led to a depletion of the </w:t>
      </w:r>
      <w:r w:rsidR="00B431B2" w:rsidRPr="005E290F">
        <w:rPr>
          <w:i/>
        </w:rPr>
        <w:t>Bacteroidetes</w:t>
      </w:r>
      <w:r w:rsidR="00E16D4B" w:rsidRPr="00F94FA9">
        <w:t xml:space="preserve"> with an increase in the </w:t>
      </w:r>
      <w:r w:rsidR="00E16D4B" w:rsidRPr="005E290F">
        <w:rPr>
          <w:i/>
        </w:rPr>
        <w:t>Firmicutes</w:t>
      </w:r>
      <w:r w:rsidR="00E16D4B" w:rsidRPr="00F94FA9">
        <w:t xml:space="preserve"> and </w:t>
      </w:r>
      <w:r w:rsidR="00E16D4B" w:rsidRPr="005E290F">
        <w:rPr>
          <w:i/>
        </w:rPr>
        <w:t>Proteobacteria</w:t>
      </w:r>
      <w:r w:rsidR="00E16D4B" w:rsidRPr="00F94FA9">
        <w:t xml:space="preserve">. </w:t>
      </w:r>
      <w:r w:rsidR="008062B1" w:rsidRPr="00F94FA9">
        <w:t xml:space="preserve">The other treatments all slightly raised the </w:t>
      </w:r>
      <w:r w:rsidR="00B431B2" w:rsidRPr="005E290F">
        <w:rPr>
          <w:i/>
        </w:rPr>
        <w:t>Bacteroidetes</w:t>
      </w:r>
      <w:r w:rsidR="008062B1" w:rsidRPr="00F94FA9">
        <w:t xml:space="preserve"> level, with treatment with BS alone having the greatest effect. </w:t>
      </w:r>
      <w:r w:rsidR="00F74CF2" w:rsidRPr="00F94FA9">
        <w:t xml:space="preserve">AgNP and AgNP-BS treatment led to a 56% increase in the level of the </w:t>
      </w:r>
      <w:r w:rsidR="00F74CF2" w:rsidRPr="005E290F">
        <w:rPr>
          <w:i/>
        </w:rPr>
        <w:t>Megasphoem</w:t>
      </w:r>
      <w:r w:rsidR="00F74CF2" w:rsidRPr="00F94FA9">
        <w:t xml:space="preserve"> genus, which has been associated with antibiotic resistance and stress response. At the species level, </w:t>
      </w:r>
      <w:r w:rsidR="00917529">
        <w:t>decreases</w:t>
      </w:r>
      <w:r w:rsidR="00917529" w:rsidRPr="00F94FA9">
        <w:t xml:space="preserve"> </w:t>
      </w:r>
      <w:r w:rsidR="00B30370" w:rsidRPr="00F94FA9">
        <w:t xml:space="preserve">were noted in the titres of </w:t>
      </w:r>
      <w:r w:rsidR="00B30370" w:rsidRPr="005E290F">
        <w:rPr>
          <w:i/>
        </w:rPr>
        <w:t xml:space="preserve">Faecalbacterium prausnitzii </w:t>
      </w:r>
      <w:r w:rsidR="00B30370" w:rsidRPr="00F94FA9">
        <w:t xml:space="preserve">and </w:t>
      </w:r>
      <w:r w:rsidR="00B30370" w:rsidRPr="005E290F">
        <w:rPr>
          <w:i/>
        </w:rPr>
        <w:t>Clostridium coccides/ Eubacterium rectales</w:t>
      </w:r>
      <w:r w:rsidR="00B30370" w:rsidRPr="00F94FA9">
        <w:t xml:space="preserve">, a </w:t>
      </w:r>
      <w:r w:rsidR="00917529">
        <w:t>finding</w:t>
      </w:r>
      <w:r w:rsidR="00917529" w:rsidRPr="00F94FA9">
        <w:t xml:space="preserve"> </w:t>
      </w:r>
      <w:r w:rsidR="00B30370" w:rsidRPr="00F94FA9">
        <w:t>seen in patients with intestinal inflammation and ulcerative colitis.</w:t>
      </w:r>
      <w:r w:rsidR="00BB39D3" w:rsidRPr="00F94FA9">
        <w:t xml:space="preserve"> No treatment affected SCFA </w:t>
      </w:r>
      <w:r w:rsidRPr="00F94FA9">
        <w:t>production,</w:t>
      </w:r>
      <w:r w:rsidR="00425841" w:rsidRPr="00F94FA9">
        <w:t xml:space="preserve"> but AgNP-BS markedly counteracted functional changes induced by </w:t>
      </w:r>
      <w:r w:rsidR="00917529" w:rsidRPr="00F94FA9">
        <w:t xml:space="preserve">treatment </w:t>
      </w:r>
      <w:r w:rsidR="00917529">
        <w:t xml:space="preserve">with </w:t>
      </w:r>
      <w:r w:rsidR="00425841" w:rsidRPr="00F94FA9">
        <w:t>AgNP alone, particularly in the microbiota’s capacity for xenobiotic degradation and metabolism.</w:t>
      </w:r>
    </w:p>
    <w:p w:rsidR="005E290F" w:rsidRDefault="005E290F" w:rsidP="00F40887">
      <w:pPr>
        <w:pStyle w:val="ListParagraph"/>
        <w:tabs>
          <w:tab w:val="left" w:pos="0"/>
        </w:tabs>
        <w:spacing w:before="240" w:line="240" w:lineRule="auto"/>
        <w:ind w:left="0"/>
      </w:pPr>
    </w:p>
    <w:p w:rsidR="005C735A" w:rsidRPr="005E290F" w:rsidRDefault="00202FBB" w:rsidP="00F40887">
      <w:pPr>
        <w:pStyle w:val="ListParagraph"/>
        <w:numPr>
          <w:ilvl w:val="2"/>
          <w:numId w:val="1"/>
        </w:numPr>
        <w:tabs>
          <w:tab w:val="left" w:pos="0"/>
        </w:tabs>
        <w:spacing w:before="240" w:line="240" w:lineRule="auto"/>
        <w:ind w:left="0" w:firstLine="0"/>
      </w:pPr>
      <w:r>
        <w:t xml:space="preserve">Meyer </w:t>
      </w:r>
      <w:r w:rsidRPr="005E290F">
        <w:rPr>
          <w:i/>
          <w:iCs/>
        </w:rPr>
        <w:t>et al</w:t>
      </w:r>
      <w:r>
        <w:t xml:space="preserve"> (2008) reviewed papers show</w:t>
      </w:r>
      <w:r w:rsidR="00917529">
        <w:t>ing</w:t>
      </w:r>
      <w:r>
        <w:t xml:space="preserve"> that </w:t>
      </w:r>
      <w:r w:rsidRPr="005E290F">
        <w:rPr>
          <w:rFonts w:cs="Arial"/>
          <w:color w:val="2E2E2E"/>
          <w:szCs w:val="24"/>
        </w:rPr>
        <w:t>methanoarchaea isolated from the human gut (</w:t>
      </w:r>
      <w:r w:rsidRPr="005E290F">
        <w:rPr>
          <w:rStyle w:val="Emphasis"/>
          <w:rFonts w:cs="Arial"/>
          <w:color w:val="2E2E2E"/>
          <w:szCs w:val="24"/>
        </w:rPr>
        <w:t>Methanosphaera stadtmanae</w:t>
      </w:r>
      <w:r w:rsidRPr="005E290F">
        <w:rPr>
          <w:rFonts w:cs="Arial"/>
          <w:color w:val="2E2E2E"/>
          <w:szCs w:val="24"/>
        </w:rPr>
        <w:t>, </w:t>
      </w:r>
      <w:r w:rsidRPr="005E290F">
        <w:rPr>
          <w:rStyle w:val="Emphasis"/>
          <w:rFonts w:cs="Arial"/>
          <w:color w:val="2E2E2E"/>
          <w:szCs w:val="24"/>
        </w:rPr>
        <w:t>Methanobrevibacter smithii</w:t>
      </w:r>
      <w:r w:rsidRPr="005E290F">
        <w:rPr>
          <w:rFonts w:cs="Arial"/>
          <w:color w:val="2E2E2E"/>
          <w:szCs w:val="24"/>
        </w:rPr>
        <w:t xml:space="preserve">) </w:t>
      </w:r>
      <w:r w:rsidR="00917529">
        <w:rPr>
          <w:rFonts w:cs="Arial"/>
          <w:color w:val="2E2E2E"/>
          <w:szCs w:val="24"/>
        </w:rPr>
        <w:t>exhibit</w:t>
      </w:r>
      <w:r w:rsidR="00917529" w:rsidRPr="005E290F">
        <w:rPr>
          <w:rFonts w:cs="Arial"/>
          <w:color w:val="2E2E2E"/>
          <w:szCs w:val="24"/>
        </w:rPr>
        <w:t xml:space="preserve"> </w:t>
      </w:r>
      <w:r w:rsidRPr="005E290F">
        <w:rPr>
          <w:rFonts w:cs="Arial"/>
          <w:color w:val="2E2E2E"/>
          <w:szCs w:val="24"/>
        </w:rPr>
        <w:t>a high potential for</w:t>
      </w:r>
      <w:r w:rsidR="001B0693">
        <w:rPr>
          <w:rFonts w:cs="Arial"/>
          <w:color w:val="2E2E2E"/>
          <w:szCs w:val="24"/>
        </w:rPr>
        <w:t xml:space="preserve"> the derivatisation of</w:t>
      </w:r>
      <w:r w:rsidRPr="005E290F">
        <w:rPr>
          <w:rFonts w:cs="Arial"/>
          <w:color w:val="2E2E2E"/>
          <w:szCs w:val="24"/>
        </w:rPr>
        <w:t xml:space="preserve"> metal and metalloid (arsenic, antimony, bismuth, selenium, tellurium and mercury)</w:t>
      </w:r>
      <w:r w:rsidR="00F17CC9">
        <w:rPr>
          <w:rFonts w:cs="Arial"/>
          <w:color w:val="2E2E2E"/>
          <w:szCs w:val="24"/>
        </w:rPr>
        <w:t xml:space="preserve"> </w:t>
      </w:r>
      <w:r w:rsidR="001B0693">
        <w:rPr>
          <w:rFonts w:cs="Arial"/>
          <w:color w:val="2E2E2E"/>
          <w:szCs w:val="24"/>
        </w:rPr>
        <w:t>into toxic volatile products</w:t>
      </w:r>
      <w:r w:rsidRPr="005E290F">
        <w:rPr>
          <w:rFonts w:cs="Arial"/>
          <w:color w:val="2E2E2E"/>
          <w:szCs w:val="24"/>
        </w:rPr>
        <w:t xml:space="preserve"> compared to bacterial gut isolates, and assumed that th</w:t>
      </w:r>
      <w:r w:rsidR="008767AF">
        <w:rPr>
          <w:rFonts w:cs="Arial"/>
          <w:color w:val="2E2E2E"/>
          <w:szCs w:val="24"/>
        </w:rPr>
        <w:t>e</w:t>
      </w:r>
      <w:r w:rsidRPr="005E290F">
        <w:rPr>
          <w:rFonts w:cs="Arial"/>
          <w:color w:val="2E2E2E"/>
          <w:szCs w:val="24"/>
        </w:rPr>
        <w:t xml:space="preserve"> methanoarchaea in the human gut are mainly responsible for the production of these toxic volatile derivatives. </w:t>
      </w:r>
      <w:r w:rsidR="00772481">
        <w:rPr>
          <w:rFonts w:cs="Arial"/>
          <w:color w:val="2E2E2E"/>
          <w:szCs w:val="24"/>
        </w:rPr>
        <w:t>One of these,</w:t>
      </w:r>
      <w:r w:rsidR="001B0693">
        <w:rPr>
          <w:rFonts w:cs="Arial"/>
          <w:color w:val="2E2E2E"/>
          <w:szCs w:val="24"/>
        </w:rPr>
        <w:t xml:space="preserve"> </w:t>
      </w:r>
      <w:r w:rsidR="001B0693">
        <w:rPr>
          <w:color w:val="2E2E2E"/>
          <w:sz w:val="27"/>
          <w:szCs w:val="27"/>
        </w:rPr>
        <w:t>t</w:t>
      </w:r>
      <w:r w:rsidR="005C735A" w:rsidRPr="005E290F">
        <w:rPr>
          <w:rFonts w:cs="Arial"/>
          <w:color w:val="2E2E2E"/>
          <w:szCs w:val="24"/>
        </w:rPr>
        <w:t>rimethylbismuth ((CH</w:t>
      </w:r>
      <w:r w:rsidR="005C735A" w:rsidRPr="005E290F">
        <w:rPr>
          <w:rFonts w:cs="Arial"/>
          <w:color w:val="2E2E2E"/>
          <w:szCs w:val="24"/>
          <w:vertAlign w:val="subscript"/>
        </w:rPr>
        <w:t>3</w:t>
      </w:r>
      <w:r w:rsidR="005C735A" w:rsidRPr="005E290F">
        <w:rPr>
          <w:rFonts w:cs="Arial"/>
          <w:color w:val="2E2E2E"/>
          <w:szCs w:val="24"/>
        </w:rPr>
        <w:t>)</w:t>
      </w:r>
      <w:r w:rsidR="005C735A" w:rsidRPr="005E290F">
        <w:rPr>
          <w:rFonts w:cs="Arial"/>
          <w:color w:val="2E2E2E"/>
          <w:szCs w:val="24"/>
          <w:vertAlign w:val="subscript"/>
        </w:rPr>
        <w:t>3</w:t>
      </w:r>
      <w:r w:rsidR="005C735A" w:rsidRPr="005E290F">
        <w:rPr>
          <w:rFonts w:cs="Arial"/>
          <w:color w:val="2E2E2E"/>
          <w:szCs w:val="24"/>
        </w:rPr>
        <w:t>Bi), the main volatile derivative of bismuth produced in human faeces, was found to inhibit the growth of cultures of </w:t>
      </w:r>
      <w:r w:rsidR="005C735A" w:rsidRPr="005E290F">
        <w:rPr>
          <w:rStyle w:val="Emphasis"/>
          <w:rFonts w:eastAsiaTheme="majorEastAsia" w:cs="Arial"/>
          <w:color w:val="2E2E2E"/>
          <w:szCs w:val="24"/>
        </w:rPr>
        <w:t>Bacteroides thetaiotaomicron</w:t>
      </w:r>
      <w:r w:rsidR="005C735A" w:rsidRPr="005E290F">
        <w:rPr>
          <w:rFonts w:cs="Arial"/>
          <w:color w:val="2E2E2E"/>
          <w:szCs w:val="24"/>
        </w:rPr>
        <w:t xml:space="preserve">, a representative member of the human physiological gut flora, suggesting that these organic </w:t>
      </w:r>
      <w:r w:rsidR="0027394B" w:rsidRPr="005E290F">
        <w:rPr>
          <w:rFonts w:cs="Arial"/>
          <w:color w:val="2E2E2E"/>
          <w:szCs w:val="24"/>
        </w:rPr>
        <w:t>derivative</w:t>
      </w:r>
      <w:r w:rsidR="005C735A" w:rsidRPr="005E290F">
        <w:rPr>
          <w:rFonts w:cs="Arial"/>
          <w:color w:val="2E2E2E"/>
          <w:szCs w:val="24"/>
        </w:rPr>
        <w:t xml:space="preserve">s </w:t>
      </w:r>
      <w:r w:rsidR="0027394B" w:rsidRPr="005E290F">
        <w:rPr>
          <w:rFonts w:cs="Arial"/>
          <w:color w:val="2E2E2E"/>
          <w:szCs w:val="24"/>
        </w:rPr>
        <w:t>may be</w:t>
      </w:r>
      <w:r w:rsidR="005C735A" w:rsidRPr="005E290F">
        <w:rPr>
          <w:rFonts w:cs="Arial"/>
          <w:color w:val="2E2E2E"/>
          <w:szCs w:val="24"/>
        </w:rPr>
        <w:t xml:space="preserve"> toxic </w:t>
      </w:r>
      <w:r w:rsidR="0027394B" w:rsidRPr="005E290F">
        <w:rPr>
          <w:rFonts w:cs="Arial"/>
          <w:color w:val="2E2E2E"/>
          <w:szCs w:val="24"/>
        </w:rPr>
        <w:t>to</w:t>
      </w:r>
      <w:r w:rsidR="005C735A" w:rsidRPr="005E290F">
        <w:rPr>
          <w:rFonts w:cs="Arial"/>
          <w:color w:val="2E2E2E"/>
          <w:szCs w:val="24"/>
        </w:rPr>
        <w:t xml:space="preserve"> human health </w:t>
      </w:r>
      <w:r w:rsidR="0027394B" w:rsidRPr="005E290F">
        <w:rPr>
          <w:rFonts w:cs="Arial"/>
          <w:color w:val="2E2E2E"/>
          <w:szCs w:val="24"/>
        </w:rPr>
        <w:t>both</w:t>
      </w:r>
      <w:r w:rsidR="005C735A" w:rsidRPr="005E290F">
        <w:rPr>
          <w:rFonts w:cs="Arial"/>
          <w:color w:val="2E2E2E"/>
          <w:szCs w:val="24"/>
        </w:rPr>
        <w:t xml:space="preserve"> </w:t>
      </w:r>
      <w:r w:rsidR="00917529">
        <w:rPr>
          <w:rFonts w:cs="Arial"/>
          <w:color w:val="2E2E2E"/>
          <w:szCs w:val="24"/>
        </w:rPr>
        <w:t xml:space="preserve">through </w:t>
      </w:r>
      <w:r w:rsidR="005C735A" w:rsidRPr="005E290F">
        <w:rPr>
          <w:rFonts w:cs="Arial"/>
          <w:color w:val="2E2E2E"/>
          <w:szCs w:val="24"/>
        </w:rPr>
        <w:t xml:space="preserve">direct interaction with host cells </w:t>
      </w:r>
      <w:r w:rsidR="0027394B" w:rsidRPr="005E290F">
        <w:rPr>
          <w:rFonts w:cs="Arial"/>
          <w:color w:val="2E2E2E"/>
          <w:szCs w:val="24"/>
        </w:rPr>
        <w:t>and by</w:t>
      </w:r>
      <w:r w:rsidR="005C735A" w:rsidRPr="005E290F">
        <w:rPr>
          <w:rFonts w:cs="Arial"/>
          <w:color w:val="2E2E2E"/>
          <w:szCs w:val="24"/>
        </w:rPr>
        <w:t xml:space="preserve"> disturbing the gut microflora.</w:t>
      </w:r>
    </w:p>
    <w:p w:rsidR="005E290F" w:rsidRDefault="005E290F" w:rsidP="00F40887">
      <w:pPr>
        <w:pStyle w:val="ListParagraph"/>
      </w:pPr>
    </w:p>
    <w:p w:rsidR="00202FBB" w:rsidRDefault="00E006B1" w:rsidP="00F40887">
      <w:pPr>
        <w:pStyle w:val="ListParagraph"/>
        <w:tabs>
          <w:tab w:val="left" w:pos="0"/>
        </w:tabs>
        <w:spacing w:before="240" w:line="240" w:lineRule="auto"/>
        <w:ind w:left="0"/>
      </w:pPr>
      <w:r w:rsidRPr="005E290F">
        <w:rPr>
          <w:u w:val="single"/>
        </w:rPr>
        <w:t>Pesticides</w:t>
      </w:r>
      <w:r w:rsidR="00202FBB" w:rsidRPr="00202FBB">
        <w:t xml:space="preserve"> </w:t>
      </w:r>
    </w:p>
    <w:p w:rsidR="005E290F" w:rsidRDefault="005E290F" w:rsidP="00F40887">
      <w:pPr>
        <w:pStyle w:val="ListParagraph"/>
      </w:pPr>
    </w:p>
    <w:p w:rsidR="00006243" w:rsidRDefault="0045430A" w:rsidP="00F40887">
      <w:pPr>
        <w:pStyle w:val="ListParagraph"/>
        <w:numPr>
          <w:ilvl w:val="2"/>
          <w:numId w:val="1"/>
        </w:numPr>
        <w:tabs>
          <w:tab w:val="left" w:pos="0"/>
        </w:tabs>
        <w:spacing w:before="240" w:line="240" w:lineRule="auto"/>
        <w:ind w:left="0" w:firstLine="0"/>
      </w:pPr>
      <w:r w:rsidRPr="00F94FA9">
        <w:t xml:space="preserve">Reygner, Condette </w:t>
      </w:r>
      <w:r w:rsidRPr="005E290F">
        <w:rPr>
          <w:i/>
        </w:rPr>
        <w:t>et al</w:t>
      </w:r>
      <w:r w:rsidRPr="00F94FA9">
        <w:t xml:space="preserve"> (2016) used the SHIME</w:t>
      </w:r>
      <w:r w:rsidR="00FC444E" w:rsidRPr="00F94FA9">
        <w:t xml:space="preserve"> model to study the direct effects of below-threshold chlorpyrifos (1 mg/day) on the composition, diversity and metabolic functions of the human g</w:t>
      </w:r>
      <w:r w:rsidR="00006243" w:rsidRPr="00F94FA9">
        <w:t>u</w:t>
      </w:r>
      <w:r w:rsidR="00FC444E" w:rsidRPr="00F94FA9">
        <w:t>t microbiota.</w:t>
      </w:r>
      <w:r w:rsidR="005F1C6A" w:rsidRPr="00F94FA9">
        <w:t xml:space="preserve"> Changes in the measured parame</w:t>
      </w:r>
      <w:r w:rsidR="005573F9" w:rsidRPr="00F94FA9">
        <w:t>ters were observed in the different compartments of the model but how they were observed depended upon the method used: PCR found no significant change in overall titre over 30 days whereas culturing found a significant increase in both aerobes and anaerobes</w:t>
      </w:r>
      <w:r w:rsidR="001D791B" w:rsidRPr="00F94FA9">
        <w:t xml:space="preserve">. Cultured </w:t>
      </w:r>
      <w:r w:rsidR="001D791B" w:rsidRPr="005E290F">
        <w:rPr>
          <w:i/>
        </w:rPr>
        <w:t>Bacteroides</w:t>
      </w:r>
      <w:r w:rsidR="001D791B" w:rsidRPr="00F94FA9">
        <w:t xml:space="preserve"> spp and </w:t>
      </w:r>
      <w:r w:rsidR="001D791B" w:rsidRPr="005E290F">
        <w:rPr>
          <w:i/>
        </w:rPr>
        <w:t>Clostridia</w:t>
      </w:r>
      <w:r w:rsidR="001D791B" w:rsidRPr="00F94FA9">
        <w:t xml:space="preserve"> spp increased but </w:t>
      </w:r>
      <w:r w:rsidR="001D791B" w:rsidRPr="005E290F">
        <w:rPr>
          <w:i/>
        </w:rPr>
        <w:t>Bifidobacterium</w:t>
      </w:r>
      <w:r w:rsidR="001D791B" w:rsidRPr="00F94FA9">
        <w:t xml:space="preserve"> spp decreased in the colon reactor. </w:t>
      </w:r>
      <w:r w:rsidR="00B32C3A" w:rsidRPr="00F94FA9">
        <w:t>Of the SCFAs, changes were temporary increases or decreases in different compartments at different times.</w:t>
      </w:r>
      <w:r w:rsidR="005238B3" w:rsidRPr="00F94FA9">
        <w:t xml:space="preserve"> </w:t>
      </w:r>
      <w:r w:rsidR="001D791B" w:rsidRPr="00F94FA9">
        <w:t>The authors suggested that although the changes measured were modest</w:t>
      </w:r>
      <w:r w:rsidR="00B32C3A" w:rsidRPr="00F94FA9">
        <w:t>, they might have</w:t>
      </w:r>
      <w:r w:rsidR="00006243" w:rsidRPr="00F94FA9">
        <w:t xml:space="preserve"> an</w:t>
      </w:r>
      <w:r w:rsidR="00B32C3A" w:rsidRPr="00F94FA9">
        <w:t xml:space="preserve"> impact </w:t>
      </w:r>
      <w:r w:rsidR="00006243" w:rsidRPr="00F94FA9">
        <w:t xml:space="preserve">that </w:t>
      </w:r>
      <w:r w:rsidR="005D3F18">
        <w:t>could</w:t>
      </w:r>
      <w:r w:rsidR="005D3F18" w:rsidRPr="00F94FA9">
        <w:t xml:space="preserve"> </w:t>
      </w:r>
      <w:r w:rsidR="00006243" w:rsidRPr="00F94FA9">
        <w:t xml:space="preserve">affect health </w:t>
      </w:r>
      <w:r w:rsidR="00B32C3A" w:rsidRPr="00F94FA9">
        <w:t>in very young infants</w:t>
      </w:r>
      <w:r w:rsidR="00006243" w:rsidRPr="00F94FA9">
        <w:t>.</w:t>
      </w:r>
      <w:r w:rsidR="00B32C3A" w:rsidRPr="00F94FA9">
        <w:t xml:space="preserve"> </w:t>
      </w:r>
    </w:p>
    <w:p w:rsidR="005E290F" w:rsidRDefault="005E290F" w:rsidP="00F40887">
      <w:pPr>
        <w:pStyle w:val="ListParagraph"/>
        <w:tabs>
          <w:tab w:val="left" w:pos="0"/>
        </w:tabs>
        <w:spacing w:before="240" w:line="240" w:lineRule="auto"/>
        <w:ind w:left="0"/>
      </w:pPr>
    </w:p>
    <w:p w:rsidR="007B4245" w:rsidRPr="005E290F" w:rsidRDefault="00EF5548" w:rsidP="00F40887">
      <w:pPr>
        <w:pStyle w:val="ListParagraph"/>
        <w:numPr>
          <w:ilvl w:val="2"/>
          <w:numId w:val="1"/>
        </w:numPr>
        <w:tabs>
          <w:tab w:val="left" w:pos="0"/>
        </w:tabs>
        <w:spacing w:before="240" w:line="240" w:lineRule="auto"/>
        <w:ind w:left="0" w:firstLine="0"/>
      </w:pPr>
      <w:r w:rsidRPr="005E290F">
        <w:rPr>
          <w:szCs w:val="24"/>
        </w:rPr>
        <w:t xml:space="preserve">Schneeberger </w:t>
      </w:r>
      <w:r w:rsidRPr="005E290F">
        <w:rPr>
          <w:i/>
          <w:szCs w:val="24"/>
        </w:rPr>
        <w:t xml:space="preserve">et </w:t>
      </w:r>
      <w:r w:rsidR="00A328C2" w:rsidRPr="005E290F">
        <w:rPr>
          <w:i/>
          <w:szCs w:val="24"/>
        </w:rPr>
        <w:t>al</w:t>
      </w:r>
      <w:r w:rsidR="00A328C2" w:rsidRPr="005E290F">
        <w:rPr>
          <w:szCs w:val="24"/>
        </w:rPr>
        <w:t xml:space="preserve"> (2018) treated hookworm-p</w:t>
      </w:r>
      <w:r w:rsidR="00614752" w:rsidRPr="005E290F">
        <w:rPr>
          <w:szCs w:val="24"/>
        </w:rPr>
        <w:t>o</w:t>
      </w:r>
      <w:r w:rsidR="00A328C2" w:rsidRPr="005E290F">
        <w:rPr>
          <w:szCs w:val="24"/>
        </w:rPr>
        <w:t xml:space="preserve">sitive adolescents aged 15 to 18 years from Cote d’Ivoire with four </w:t>
      </w:r>
      <w:r w:rsidR="00614752" w:rsidRPr="005E290F">
        <w:rPr>
          <w:szCs w:val="24"/>
        </w:rPr>
        <w:t xml:space="preserve">anthelminthic </w:t>
      </w:r>
      <w:r w:rsidR="00A328C2" w:rsidRPr="005E290F">
        <w:rPr>
          <w:szCs w:val="24"/>
        </w:rPr>
        <w:t xml:space="preserve">drug </w:t>
      </w:r>
      <w:r w:rsidR="00A8467F" w:rsidRPr="005E290F">
        <w:rPr>
          <w:szCs w:val="24"/>
        </w:rPr>
        <w:t>regimens</w:t>
      </w:r>
      <w:r w:rsidR="00A328C2" w:rsidRPr="005E290F">
        <w:rPr>
          <w:szCs w:val="24"/>
        </w:rPr>
        <w:t xml:space="preserve"> (</w:t>
      </w:r>
      <w:r w:rsidR="00D438FD" w:rsidRPr="005E290F">
        <w:rPr>
          <w:szCs w:val="24"/>
        </w:rPr>
        <w:t>tribendimidine</w:t>
      </w:r>
      <w:r w:rsidR="00D438FD">
        <w:rPr>
          <w:szCs w:val="24"/>
        </w:rPr>
        <w:t xml:space="preserve"> alone, </w:t>
      </w:r>
      <w:r w:rsidR="00A328C2" w:rsidRPr="005E290F">
        <w:rPr>
          <w:szCs w:val="24"/>
        </w:rPr>
        <w:t xml:space="preserve">tribendimidine </w:t>
      </w:r>
      <w:r w:rsidR="00A328C2" w:rsidRPr="00272F8A">
        <w:rPr>
          <w:szCs w:val="24"/>
        </w:rPr>
        <w:t>+</w:t>
      </w:r>
      <w:r w:rsidR="00E57D98">
        <w:rPr>
          <w:szCs w:val="24"/>
          <w:u w:val="single"/>
        </w:rPr>
        <w:t xml:space="preserve"> </w:t>
      </w:r>
      <w:r w:rsidR="00A328C2" w:rsidRPr="005E290F">
        <w:rPr>
          <w:szCs w:val="24"/>
        </w:rPr>
        <w:t>ivermectin</w:t>
      </w:r>
      <w:r w:rsidR="00E57D98" w:rsidRPr="00E57D98">
        <w:rPr>
          <w:szCs w:val="24"/>
        </w:rPr>
        <w:t>,</w:t>
      </w:r>
      <w:r w:rsidR="00A328C2" w:rsidRPr="005E290F">
        <w:rPr>
          <w:szCs w:val="24"/>
        </w:rPr>
        <w:t xml:space="preserve"> tribendimidine </w:t>
      </w:r>
      <w:r w:rsidR="00A328C2" w:rsidRPr="00272F8A">
        <w:rPr>
          <w:szCs w:val="24"/>
        </w:rPr>
        <w:t>+</w:t>
      </w:r>
      <w:r w:rsidR="00A328C2" w:rsidRPr="005E290F">
        <w:rPr>
          <w:i/>
          <w:szCs w:val="24"/>
        </w:rPr>
        <w:t xml:space="preserve"> </w:t>
      </w:r>
      <w:r w:rsidR="00A328C2" w:rsidRPr="005E290F">
        <w:rPr>
          <w:szCs w:val="24"/>
        </w:rPr>
        <w:t>oxantel pamoate and</w:t>
      </w:r>
      <w:r w:rsidR="00E57D98">
        <w:rPr>
          <w:szCs w:val="24"/>
        </w:rPr>
        <w:t xml:space="preserve"> </w:t>
      </w:r>
      <w:r w:rsidR="00A328C2" w:rsidRPr="005E290F">
        <w:rPr>
          <w:szCs w:val="24"/>
        </w:rPr>
        <w:t xml:space="preserve">albendazole </w:t>
      </w:r>
      <w:r w:rsidR="00E57D98" w:rsidRPr="00272F8A">
        <w:rPr>
          <w:szCs w:val="24"/>
        </w:rPr>
        <w:t>+</w:t>
      </w:r>
      <w:r w:rsidR="00E57D98" w:rsidRPr="00D438FD">
        <w:rPr>
          <w:szCs w:val="24"/>
        </w:rPr>
        <w:t xml:space="preserve"> </w:t>
      </w:r>
      <w:r w:rsidR="00E57D98" w:rsidRPr="00E57D98">
        <w:rPr>
          <w:szCs w:val="24"/>
        </w:rPr>
        <w:t>oxantel</w:t>
      </w:r>
      <w:r w:rsidR="0030497C" w:rsidRPr="005E290F">
        <w:rPr>
          <w:szCs w:val="24"/>
        </w:rPr>
        <w:t xml:space="preserve"> pamoate</w:t>
      </w:r>
      <w:r w:rsidR="00D438FD">
        <w:rPr>
          <w:szCs w:val="24"/>
        </w:rPr>
        <w:t>)</w:t>
      </w:r>
      <w:r w:rsidR="0030497C" w:rsidRPr="005E290F">
        <w:rPr>
          <w:szCs w:val="24"/>
        </w:rPr>
        <w:t xml:space="preserve"> for three weeks. </w:t>
      </w:r>
      <w:r w:rsidR="00D438FD" w:rsidRPr="00D438FD">
        <w:rPr>
          <w:szCs w:val="24"/>
        </w:rPr>
        <w:t>The gut bacterial composition was analy</w:t>
      </w:r>
      <w:r w:rsidR="00D438FD">
        <w:rPr>
          <w:szCs w:val="24"/>
        </w:rPr>
        <w:t>s</w:t>
      </w:r>
      <w:r w:rsidR="00D438FD" w:rsidRPr="00D438FD">
        <w:rPr>
          <w:szCs w:val="24"/>
        </w:rPr>
        <w:t xml:space="preserve">ed using 16S rRNA gene sequencing. </w:t>
      </w:r>
      <w:r w:rsidR="0030497C" w:rsidRPr="005E290F">
        <w:rPr>
          <w:szCs w:val="24"/>
        </w:rPr>
        <w:t>On treatment arm 2</w:t>
      </w:r>
      <w:r w:rsidR="00D438FD">
        <w:rPr>
          <w:szCs w:val="24"/>
        </w:rPr>
        <w:t xml:space="preserve"> (</w:t>
      </w:r>
      <w:r w:rsidR="00D438FD" w:rsidRPr="005E290F">
        <w:rPr>
          <w:szCs w:val="24"/>
        </w:rPr>
        <w:t xml:space="preserve">tribendimidine </w:t>
      </w:r>
      <w:r w:rsidR="00D438FD" w:rsidRPr="008E48D2">
        <w:rPr>
          <w:szCs w:val="24"/>
        </w:rPr>
        <w:t>+</w:t>
      </w:r>
      <w:r w:rsidR="00D438FD">
        <w:rPr>
          <w:szCs w:val="24"/>
          <w:u w:val="single"/>
        </w:rPr>
        <w:t xml:space="preserve"> </w:t>
      </w:r>
      <w:r w:rsidR="00D438FD" w:rsidRPr="005E290F">
        <w:rPr>
          <w:szCs w:val="24"/>
        </w:rPr>
        <w:t>ivermectin</w:t>
      </w:r>
      <w:r w:rsidR="00D438FD">
        <w:rPr>
          <w:szCs w:val="24"/>
        </w:rPr>
        <w:t>)</w:t>
      </w:r>
      <w:r w:rsidR="0030497C" w:rsidRPr="005E290F">
        <w:rPr>
          <w:szCs w:val="24"/>
        </w:rPr>
        <w:t xml:space="preserve">, the titre of </w:t>
      </w:r>
      <w:r w:rsidR="0030497C" w:rsidRPr="005E290F">
        <w:rPr>
          <w:i/>
          <w:szCs w:val="24"/>
        </w:rPr>
        <w:t>Bacteroidetes</w:t>
      </w:r>
      <w:r w:rsidR="0030497C" w:rsidRPr="005E290F">
        <w:rPr>
          <w:szCs w:val="24"/>
        </w:rPr>
        <w:t xml:space="preserve"> </w:t>
      </w:r>
      <w:r w:rsidR="00BA4C15" w:rsidRPr="005E290F">
        <w:rPr>
          <w:szCs w:val="24"/>
        </w:rPr>
        <w:t xml:space="preserve">in stool samples </w:t>
      </w:r>
      <w:r w:rsidR="0030497C" w:rsidRPr="005E290F">
        <w:rPr>
          <w:szCs w:val="24"/>
        </w:rPr>
        <w:t xml:space="preserve">was increased </w:t>
      </w:r>
      <w:r w:rsidR="00D438FD" w:rsidRPr="00D438FD">
        <w:rPr>
          <w:szCs w:val="24"/>
        </w:rPr>
        <w:t xml:space="preserve">due predominantly to </w:t>
      </w:r>
      <w:r w:rsidR="00D438FD">
        <w:rPr>
          <w:szCs w:val="24"/>
        </w:rPr>
        <w:t>the</w:t>
      </w:r>
      <w:r w:rsidR="00D438FD" w:rsidRPr="00D438FD">
        <w:rPr>
          <w:szCs w:val="24"/>
        </w:rPr>
        <w:t xml:space="preserve"> abundance of the families </w:t>
      </w:r>
      <w:r w:rsidR="00D438FD" w:rsidRPr="00272F8A">
        <w:rPr>
          <w:i/>
          <w:iCs/>
          <w:szCs w:val="24"/>
        </w:rPr>
        <w:t>Prevotellaceae</w:t>
      </w:r>
      <w:r w:rsidR="00D438FD" w:rsidRPr="00D438FD">
        <w:rPr>
          <w:szCs w:val="24"/>
        </w:rPr>
        <w:t xml:space="preserve"> and </w:t>
      </w:r>
      <w:r w:rsidR="00D438FD" w:rsidRPr="00272F8A">
        <w:rPr>
          <w:i/>
          <w:iCs/>
          <w:szCs w:val="24"/>
        </w:rPr>
        <w:t>Candidatus homeothermaceae</w:t>
      </w:r>
      <w:r w:rsidR="00D438FD">
        <w:rPr>
          <w:szCs w:val="24"/>
        </w:rPr>
        <w:t xml:space="preserve"> </w:t>
      </w:r>
      <w:r w:rsidR="0030497C" w:rsidRPr="005E290F">
        <w:rPr>
          <w:szCs w:val="24"/>
        </w:rPr>
        <w:t>at 24 hou</w:t>
      </w:r>
      <w:r w:rsidR="009B3324" w:rsidRPr="005E290F">
        <w:rPr>
          <w:szCs w:val="24"/>
        </w:rPr>
        <w:t>r</w:t>
      </w:r>
      <w:r w:rsidR="0030497C" w:rsidRPr="005E290F">
        <w:rPr>
          <w:szCs w:val="24"/>
        </w:rPr>
        <w:t>s</w:t>
      </w:r>
      <w:r w:rsidR="00D438FD">
        <w:rPr>
          <w:szCs w:val="24"/>
        </w:rPr>
        <w:t xml:space="preserve"> after treatment.</w:t>
      </w:r>
      <w:r w:rsidR="0030497C" w:rsidRPr="005E290F">
        <w:rPr>
          <w:szCs w:val="24"/>
        </w:rPr>
        <w:t xml:space="preserve"> </w:t>
      </w:r>
      <w:r w:rsidR="00D438FD" w:rsidRPr="00D438FD">
        <w:rPr>
          <w:szCs w:val="24"/>
        </w:rPr>
        <w:t xml:space="preserve">This effect </w:t>
      </w:r>
      <w:r w:rsidR="00D438FD">
        <w:rPr>
          <w:szCs w:val="24"/>
        </w:rPr>
        <w:t>was</w:t>
      </w:r>
      <w:r w:rsidR="00D438FD" w:rsidRPr="00D438FD">
        <w:rPr>
          <w:szCs w:val="24"/>
        </w:rPr>
        <w:t xml:space="preserve"> transient and disappear</w:t>
      </w:r>
      <w:r w:rsidR="00D438FD">
        <w:rPr>
          <w:szCs w:val="24"/>
        </w:rPr>
        <w:t>ed</w:t>
      </w:r>
      <w:r w:rsidR="00D438FD" w:rsidRPr="00D438FD">
        <w:rPr>
          <w:szCs w:val="24"/>
        </w:rPr>
        <w:t xml:space="preserve"> three weeks after treatment. </w:t>
      </w:r>
      <w:r w:rsidR="0030497C" w:rsidRPr="005E290F">
        <w:rPr>
          <w:szCs w:val="24"/>
        </w:rPr>
        <w:t xml:space="preserve">Increases were noted </w:t>
      </w:r>
      <w:r w:rsidR="00E90A35">
        <w:rPr>
          <w:szCs w:val="24"/>
        </w:rPr>
        <w:t>in</w:t>
      </w:r>
      <w:r w:rsidR="00E90A35" w:rsidRPr="005E290F">
        <w:rPr>
          <w:szCs w:val="24"/>
        </w:rPr>
        <w:t xml:space="preserve"> </w:t>
      </w:r>
      <w:r w:rsidR="0030497C" w:rsidRPr="005E290F">
        <w:rPr>
          <w:szCs w:val="24"/>
        </w:rPr>
        <w:t>biotin metabolism,</w:t>
      </w:r>
      <w:r w:rsidR="002D06C9" w:rsidRPr="005E290F">
        <w:rPr>
          <w:szCs w:val="24"/>
        </w:rPr>
        <w:t xml:space="preserve"> </w:t>
      </w:r>
      <w:r w:rsidR="0030497C" w:rsidRPr="005E290F">
        <w:rPr>
          <w:szCs w:val="24"/>
        </w:rPr>
        <w:t>folate synthesis and N-glycan biosynthesis</w:t>
      </w:r>
      <w:r w:rsidR="006E4134" w:rsidRPr="005E290F">
        <w:rPr>
          <w:szCs w:val="24"/>
        </w:rPr>
        <w:t>.</w:t>
      </w:r>
      <w:r w:rsidR="00021AE0" w:rsidRPr="00021AE0">
        <w:rPr>
          <w:szCs w:val="24"/>
        </w:rPr>
        <w:t xml:space="preserve"> </w:t>
      </w:r>
      <w:r w:rsidR="00021AE0">
        <w:rPr>
          <w:szCs w:val="24"/>
        </w:rPr>
        <w:t>No changes were observed following the other treatments. The authors recommended further study of this</w:t>
      </w:r>
      <w:r w:rsidR="00C05B34">
        <w:rPr>
          <w:szCs w:val="24"/>
        </w:rPr>
        <w:t xml:space="preserve"> </w:t>
      </w:r>
      <w:r w:rsidR="00021AE0">
        <w:rPr>
          <w:szCs w:val="24"/>
        </w:rPr>
        <w:t>drug interaction.</w:t>
      </w:r>
    </w:p>
    <w:p w:rsidR="005E290F" w:rsidRDefault="005E290F" w:rsidP="00F40887">
      <w:pPr>
        <w:pStyle w:val="ListParagraph"/>
      </w:pPr>
    </w:p>
    <w:p w:rsidR="00BA4C15" w:rsidRPr="005E290F" w:rsidRDefault="00BA4C15" w:rsidP="00272F8A">
      <w:pPr>
        <w:pStyle w:val="ListParagraph"/>
        <w:tabs>
          <w:tab w:val="left" w:pos="0"/>
          <w:tab w:val="center" w:pos="4513"/>
        </w:tabs>
        <w:spacing w:before="240" w:line="240" w:lineRule="auto"/>
        <w:ind w:left="0"/>
      </w:pPr>
      <w:r w:rsidRPr="005E290F">
        <w:rPr>
          <w:szCs w:val="24"/>
          <w:u w:val="single"/>
        </w:rPr>
        <w:t>Antibiotics</w:t>
      </w:r>
      <w:r w:rsidR="00C05B34" w:rsidRPr="00DB769D">
        <w:rPr>
          <w:szCs w:val="24"/>
        </w:rPr>
        <w:tab/>
      </w:r>
    </w:p>
    <w:p w:rsidR="005E290F" w:rsidRDefault="005E290F" w:rsidP="00F40887">
      <w:pPr>
        <w:pStyle w:val="ListParagraph"/>
      </w:pPr>
    </w:p>
    <w:p w:rsidR="00BA4C15" w:rsidRPr="005E290F" w:rsidRDefault="00BD63A0" w:rsidP="00F40887">
      <w:pPr>
        <w:pStyle w:val="ListParagraph"/>
        <w:numPr>
          <w:ilvl w:val="2"/>
          <w:numId w:val="1"/>
        </w:numPr>
        <w:tabs>
          <w:tab w:val="left" w:pos="0"/>
        </w:tabs>
        <w:spacing w:before="240" w:line="240" w:lineRule="auto"/>
        <w:ind w:left="0" w:firstLine="0"/>
      </w:pPr>
      <w:r w:rsidRPr="005E290F">
        <w:rPr>
          <w:szCs w:val="24"/>
        </w:rPr>
        <w:t>Antibiotics alter the structure of the human gut microb</w:t>
      </w:r>
      <w:r w:rsidR="00290B3F" w:rsidRPr="005E290F">
        <w:rPr>
          <w:szCs w:val="24"/>
        </w:rPr>
        <w:t xml:space="preserve">iota. At least 42 genera </w:t>
      </w:r>
      <w:r w:rsidR="0052762A" w:rsidRPr="005E290F">
        <w:rPr>
          <w:szCs w:val="24"/>
        </w:rPr>
        <w:t>have been found to be</w:t>
      </w:r>
      <w:r w:rsidR="00290B3F" w:rsidRPr="005E290F">
        <w:rPr>
          <w:szCs w:val="24"/>
        </w:rPr>
        <w:t xml:space="preserve"> sensitive to the effects of </w:t>
      </w:r>
      <w:r w:rsidR="0052762A" w:rsidRPr="005E290F">
        <w:rPr>
          <w:szCs w:val="24"/>
        </w:rPr>
        <w:t>a</w:t>
      </w:r>
      <w:r w:rsidR="00290B3F" w:rsidRPr="005E290F">
        <w:rPr>
          <w:szCs w:val="24"/>
        </w:rPr>
        <w:t xml:space="preserve"> range of</w:t>
      </w:r>
      <w:r w:rsidR="0052762A" w:rsidRPr="005E290F">
        <w:rPr>
          <w:szCs w:val="24"/>
        </w:rPr>
        <w:t xml:space="preserve"> 68 different</w:t>
      </w:r>
      <w:r w:rsidR="00290B3F" w:rsidRPr="005E290F">
        <w:rPr>
          <w:szCs w:val="24"/>
        </w:rPr>
        <w:t xml:space="preserve"> antibiotics. However, the effects of antibiotics are difficult to ascertain </w:t>
      </w:r>
      <w:r w:rsidR="000A6217">
        <w:rPr>
          <w:szCs w:val="24"/>
        </w:rPr>
        <w:t>with</w:t>
      </w:r>
      <w:r w:rsidR="000A6217" w:rsidRPr="005E290F">
        <w:rPr>
          <w:szCs w:val="24"/>
        </w:rPr>
        <w:t xml:space="preserve"> </w:t>
      </w:r>
      <w:r w:rsidR="00290B3F" w:rsidRPr="005E290F">
        <w:rPr>
          <w:szCs w:val="24"/>
        </w:rPr>
        <w:t>the commonly used 16S rRNA genetic analysis since this technique</w:t>
      </w:r>
      <w:r w:rsidR="00614752" w:rsidRPr="005E290F">
        <w:rPr>
          <w:szCs w:val="24"/>
        </w:rPr>
        <w:t xml:space="preserve"> detects</w:t>
      </w:r>
      <w:r w:rsidR="00290B3F" w:rsidRPr="005E290F">
        <w:rPr>
          <w:szCs w:val="24"/>
        </w:rPr>
        <w:t xml:space="preserve"> all bacteria in a population, including those that are dead </w:t>
      </w:r>
      <w:r w:rsidR="00E8184B">
        <w:rPr>
          <w:szCs w:val="24"/>
        </w:rPr>
        <w:t>or</w:t>
      </w:r>
      <w:r w:rsidR="00290B3F" w:rsidRPr="005E290F">
        <w:rPr>
          <w:szCs w:val="24"/>
        </w:rPr>
        <w:t xml:space="preserve"> quiescent</w:t>
      </w:r>
      <w:r w:rsidR="0052762A" w:rsidRPr="005E290F">
        <w:rPr>
          <w:szCs w:val="24"/>
        </w:rPr>
        <w:t xml:space="preserve">. Bacteria in the gut that are susceptible to antibiotics are replaced by others that fulfil the same functions but are resistant to treatment, but this can also lead to an imbalance of function causing detrimental effects on the host such as greater risk of obesity and/or type 2 diabetes. (Review by Ferrer </w:t>
      </w:r>
      <w:r w:rsidR="0052762A" w:rsidRPr="005E290F">
        <w:rPr>
          <w:i/>
          <w:szCs w:val="24"/>
        </w:rPr>
        <w:t>et al</w:t>
      </w:r>
      <w:r w:rsidR="0052762A" w:rsidRPr="005E290F">
        <w:rPr>
          <w:szCs w:val="24"/>
        </w:rPr>
        <w:t xml:space="preserve"> (</w:t>
      </w:r>
      <w:r w:rsidR="006F112B" w:rsidRPr="005E290F">
        <w:rPr>
          <w:szCs w:val="24"/>
        </w:rPr>
        <w:t>2017).</w:t>
      </w:r>
    </w:p>
    <w:p w:rsidR="005E290F" w:rsidRPr="005E290F" w:rsidRDefault="005E290F" w:rsidP="00F40887">
      <w:pPr>
        <w:pStyle w:val="ListParagraph"/>
        <w:tabs>
          <w:tab w:val="left" w:pos="0"/>
        </w:tabs>
        <w:spacing w:before="240" w:line="240" w:lineRule="auto"/>
        <w:ind w:left="0"/>
      </w:pPr>
    </w:p>
    <w:p w:rsidR="00D0534A" w:rsidRPr="005E290F" w:rsidRDefault="00EB0696" w:rsidP="00F40887">
      <w:pPr>
        <w:pStyle w:val="ListParagraph"/>
        <w:numPr>
          <w:ilvl w:val="2"/>
          <w:numId w:val="1"/>
        </w:numPr>
        <w:tabs>
          <w:tab w:val="left" w:pos="0"/>
        </w:tabs>
        <w:spacing w:before="240" w:line="240" w:lineRule="auto"/>
        <w:ind w:left="0" w:firstLine="0"/>
      </w:pPr>
      <w:r w:rsidRPr="005E290F">
        <w:rPr>
          <w:szCs w:val="24"/>
        </w:rPr>
        <w:t xml:space="preserve">Isaac </w:t>
      </w:r>
      <w:r w:rsidRPr="005E290F">
        <w:rPr>
          <w:i/>
          <w:szCs w:val="24"/>
        </w:rPr>
        <w:t>et al</w:t>
      </w:r>
      <w:r w:rsidRPr="005E290F">
        <w:rPr>
          <w:szCs w:val="24"/>
        </w:rPr>
        <w:t xml:space="preserve"> (2017) administered the antibiotic vancomycin to rheumatoid arthritis patients at 250 mg four times a day for 2 weeks followed by methotrexate for 6 weeks. A control group received methotrexate only from the beginning of the study.</w:t>
      </w:r>
      <w:r w:rsidR="00A94E75" w:rsidRPr="005E290F">
        <w:rPr>
          <w:szCs w:val="24"/>
        </w:rPr>
        <w:t xml:space="preserve"> </w:t>
      </w:r>
      <w:r w:rsidR="007B0DD5" w:rsidRPr="005E290F">
        <w:rPr>
          <w:szCs w:val="24"/>
        </w:rPr>
        <w:t xml:space="preserve">Vancomycin reduced the richness and diversity of the human microbiota samples, vastly reducing the levels of the </w:t>
      </w:r>
      <w:r w:rsidR="007B0DD5" w:rsidRPr="005E290F">
        <w:rPr>
          <w:i/>
          <w:szCs w:val="24"/>
        </w:rPr>
        <w:t>Bacteroidetes</w:t>
      </w:r>
      <w:r w:rsidR="007B0DD5" w:rsidRPr="005E290F">
        <w:rPr>
          <w:szCs w:val="24"/>
        </w:rPr>
        <w:t xml:space="preserve"> with a slight increase in the </w:t>
      </w:r>
      <w:r w:rsidR="007B0DD5" w:rsidRPr="005E290F">
        <w:rPr>
          <w:i/>
          <w:szCs w:val="24"/>
        </w:rPr>
        <w:t>Firmicutes</w:t>
      </w:r>
      <w:r w:rsidR="007B0DD5" w:rsidRPr="005E290F">
        <w:rPr>
          <w:szCs w:val="24"/>
        </w:rPr>
        <w:t xml:space="preserve"> (driven by the genera </w:t>
      </w:r>
      <w:r w:rsidR="007B0DD5" w:rsidRPr="005E290F">
        <w:rPr>
          <w:i/>
          <w:szCs w:val="24"/>
        </w:rPr>
        <w:t>Megasphera</w:t>
      </w:r>
      <w:r w:rsidR="007B0DD5" w:rsidRPr="005E290F">
        <w:rPr>
          <w:szCs w:val="24"/>
        </w:rPr>
        <w:t xml:space="preserve"> and </w:t>
      </w:r>
      <w:r w:rsidR="007B0DD5" w:rsidRPr="005E290F">
        <w:rPr>
          <w:i/>
          <w:szCs w:val="24"/>
        </w:rPr>
        <w:t>Veillonella</w:t>
      </w:r>
      <w:r w:rsidR="007B0DD5" w:rsidRPr="005E290F">
        <w:rPr>
          <w:szCs w:val="24"/>
        </w:rPr>
        <w:t xml:space="preserve">) and large increases in the </w:t>
      </w:r>
      <w:r w:rsidR="007B0DD5" w:rsidRPr="005E290F">
        <w:rPr>
          <w:i/>
          <w:szCs w:val="24"/>
        </w:rPr>
        <w:t>Proteo</w:t>
      </w:r>
      <w:r w:rsidR="00266F98" w:rsidRPr="005E290F">
        <w:rPr>
          <w:i/>
          <w:szCs w:val="24"/>
        </w:rPr>
        <w:t>bacteria</w:t>
      </w:r>
      <w:r w:rsidR="00266F98" w:rsidRPr="005E290F">
        <w:rPr>
          <w:szCs w:val="24"/>
        </w:rPr>
        <w:t xml:space="preserve"> and the </w:t>
      </w:r>
      <w:r w:rsidR="00266F98" w:rsidRPr="005E290F">
        <w:rPr>
          <w:i/>
          <w:szCs w:val="24"/>
        </w:rPr>
        <w:t>Fusobacteria</w:t>
      </w:r>
      <w:r w:rsidR="00266F98" w:rsidRPr="005E290F">
        <w:rPr>
          <w:szCs w:val="24"/>
        </w:rPr>
        <w:t xml:space="preserve">. Recovery from antibiotic </w:t>
      </w:r>
      <w:r w:rsidR="005D3F18">
        <w:rPr>
          <w:szCs w:val="24"/>
        </w:rPr>
        <w:t xml:space="preserve">treatment </w:t>
      </w:r>
      <w:r w:rsidR="00266F98" w:rsidRPr="005E290F">
        <w:rPr>
          <w:szCs w:val="24"/>
        </w:rPr>
        <w:t>varied between individuals</w:t>
      </w:r>
      <w:r w:rsidR="000A6217">
        <w:rPr>
          <w:szCs w:val="24"/>
        </w:rPr>
        <w:t>.</w:t>
      </w:r>
      <w:r w:rsidR="00266F98" w:rsidRPr="005E290F">
        <w:rPr>
          <w:szCs w:val="24"/>
        </w:rPr>
        <w:t xml:space="preserve"> </w:t>
      </w:r>
      <w:r w:rsidR="000A6217">
        <w:rPr>
          <w:szCs w:val="24"/>
        </w:rPr>
        <w:t>T</w:t>
      </w:r>
      <w:r w:rsidR="00D511AF" w:rsidRPr="005E290F">
        <w:rPr>
          <w:szCs w:val="24"/>
        </w:rPr>
        <w:t xml:space="preserve">he rate of recovery </w:t>
      </w:r>
      <w:r w:rsidR="000A6217">
        <w:rPr>
          <w:szCs w:val="24"/>
        </w:rPr>
        <w:t xml:space="preserve">in a mouse model </w:t>
      </w:r>
      <w:r w:rsidR="00266F98" w:rsidRPr="005E290F">
        <w:rPr>
          <w:szCs w:val="24"/>
        </w:rPr>
        <w:t xml:space="preserve">was </w:t>
      </w:r>
      <w:r w:rsidR="000A6217">
        <w:rPr>
          <w:szCs w:val="24"/>
        </w:rPr>
        <w:t xml:space="preserve">negatively </w:t>
      </w:r>
      <w:r w:rsidR="00266F98" w:rsidRPr="005E290F">
        <w:rPr>
          <w:szCs w:val="24"/>
        </w:rPr>
        <w:t>associated with</w:t>
      </w:r>
      <w:r w:rsidR="00D511AF" w:rsidRPr="005E290F">
        <w:rPr>
          <w:szCs w:val="24"/>
        </w:rPr>
        <w:t xml:space="preserve"> infection with pathogens such as </w:t>
      </w:r>
      <w:r w:rsidR="00D511AF" w:rsidRPr="005E290F">
        <w:rPr>
          <w:i/>
          <w:szCs w:val="24"/>
        </w:rPr>
        <w:t>Klebsiella, Escherichia</w:t>
      </w:r>
      <w:r w:rsidR="00D511AF" w:rsidRPr="005E290F">
        <w:rPr>
          <w:szCs w:val="24"/>
        </w:rPr>
        <w:t xml:space="preserve"> and </w:t>
      </w:r>
      <w:r w:rsidR="00D511AF" w:rsidRPr="005E290F">
        <w:rPr>
          <w:i/>
          <w:szCs w:val="24"/>
        </w:rPr>
        <w:t>Shigella</w:t>
      </w:r>
      <w:r w:rsidR="00D511AF" w:rsidRPr="005E290F">
        <w:rPr>
          <w:szCs w:val="24"/>
        </w:rPr>
        <w:t>.</w:t>
      </w:r>
    </w:p>
    <w:p w:rsidR="005E290F" w:rsidRDefault="005E290F" w:rsidP="00F40887">
      <w:pPr>
        <w:pStyle w:val="ListParagraph"/>
      </w:pPr>
    </w:p>
    <w:p w:rsidR="00851C2D" w:rsidRPr="005E290F" w:rsidRDefault="00451819" w:rsidP="00F40887">
      <w:pPr>
        <w:pStyle w:val="ListParagraph"/>
        <w:numPr>
          <w:ilvl w:val="2"/>
          <w:numId w:val="1"/>
        </w:numPr>
        <w:tabs>
          <w:tab w:val="left" w:pos="0"/>
        </w:tabs>
        <w:spacing w:before="240" w:line="240" w:lineRule="auto"/>
        <w:ind w:left="0" w:firstLine="0"/>
      </w:pPr>
      <w:r w:rsidRPr="005E290F">
        <w:rPr>
          <w:rFonts w:cs="Arial"/>
          <w:szCs w:val="24"/>
        </w:rPr>
        <w:t xml:space="preserve">Of 102 patients treated with antibiotics, </w:t>
      </w:r>
      <w:r w:rsidRPr="005E290F">
        <w:rPr>
          <w:szCs w:val="24"/>
        </w:rPr>
        <w:t xml:space="preserve">Meletiadis </w:t>
      </w:r>
      <w:r w:rsidRPr="005E290F">
        <w:rPr>
          <w:i/>
          <w:szCs w:val="24"/>
        </w:rPr>
        <w:t xml:space="preserve">et al </w:t>
      </w:r>
      <w:r w:rsidRPr="005E290F">
        <w:rPr>
          <w:szCs w:val="24"/>
        </w:rPr>
        <w:t xml:space="preserve">(2017) </w:t>
      </w:r>
      <w:r w:rsidRPr="005E290F">
        <w:rPr>
          <w:rFonts w:cs="Arial"/>
          <w:szCs w:val="24"/>
        </w:rPr>
        <w:t xml:space="preserve">observed amplification </w:t>
      </w:r>
      <w:r w:rsidR="00F63128" w:rsidRPr="005E290F">
        <w:rPr>
          <w:rFonts w:cs="Arial"/>
          <w:szCs w:val="24"/>
        </w:rPr>
        <w:t xml:space="preserve">of </w:t>
      </w:r>
      <w:r w:rsidR="00D63C55" w:rsidRPr="005E290F">
        <w:rPr>
          <w:rFonts w:cs="Arial"/>
          <w:szCs w:val="24"/>
        </w:rPr>
        <w:t xml:space="preserve">an </w:t>
      </w:r>
      <w:r w:rsidR="00F63128" w:rsidRPr="005E290F">
        <w:rPr>
          <w:rFonts w:cs="Arial"/>
          <w:szCs w:val="24"/>
        </w:rPr>
        <w:t xml:space="preserve">AMR </w:t>
      </w:r>
      <w:r w:rsidRPr="005E290F">
        <w:rPr>
          <w:rFonts w:cs="Arial"/>
          <w:szCs w:val="24"/>
        </w:rPr>
        <w:t>gene in 20/56 (36%) patients treated with</w:t>
      </w:r>
      <w:r w:rsidR="00F63128" w:rsidRPr="005E290F">
        <w:rPr>
          <w:rFonts w:cs="Arial"/>
          <w:szCs w:val="24"/>
        </w:rPr>
        <w:t xml:space="preserve"> </w:t>
      </w:r>
      <w:r w:rsidRPr="005E290F">
        <w:rPr>
          <w:rFonts w:cs="Arial"/>
          <w:szCs w:val="24"/>
        </w:rPr>
        <w:t xml:space="preserve">ceftriaxone alone or in combination (3/20 with ceftriaxone alone, 17/36 with ceftriaxone and another antibiotic) and 10/46 (22%) with other antibiotics (6/10 treated with ciprofloxacin or levofloxacin with other antibiotics). </w:t>
      </w:r>
      <w:r w:rsidR="00D63C55" w:rsidRPr="005E290F">
        <w:rPr>
          <w:rFonts w:cs="Arial"/>
          <w:szCs w:val="24"/>
        </w:rPr>
        <w:t xml:space="preserve">No AMR gene amplification was seen in control patients. The authors recognised that only the amplification of the </w:t>
      </w:r>
      <w:r w:rsidR="00D63C55" w:rsidRPr="005E290F">
        <w:rPr>
          <w:rFonts w:cs="Arial"/>
          <w:color w:val="231F20"/>
          <w:szCs w:val="24"/>
        </w:rPr>
        <w:t>beta-lactamase bla</w:t>
      </w:r>
      <w:r w:rsidR="00D63C55" w:rsidRPr="005E290F">
        <w:rPr>
          <w:rFonts w:cs="Arial"/>
          <w:color w:val="231F20"/>
          <w:szCs w:val="24"/>
          <w:vertAlign w:val="subscript"/>
        </w:rPr>
        <w:t>CfxA-6</w:t>
      </w:r>
      <w:r w:rsidR="00D63C55" w:rsidRPr="005E290F">
        <w:rPr>
          <w:rFonts w:cs="Arial"/>
          <w:color w:val="231F20"/>
          <w:szCs w:val="24"/>
        </w:rPr>
        <w:t xml:space="preserve"> gene was explored, which left open the question of what other genes may have been amplified by treatment and the full extent of the effect of the antibiotic.</w:t>
      </w:r>
    </w:p>
    <w:p w:rsidR="005E290F" w:rsidRDefault="005E290F" w:rsidP="00F40887">
      <w:pPr>
        <w:pStyle w:val="ListParagraph"/>
      </w:pPr>
    </w:p>
    <w:p w:rsidR="00D87061" w:rsidRPr="005E290F" w:rsidRDefault="00851C2D" w:rsidP="00F40887">
      <w:pPr>
        <w:pStyle w:val="ListParagraph"/>
        <w:numPr>
          <w:ilvl w:val="2"/>
          <w:numId w:val="1"/>
        </w:numPr>
        <w:tabs>
          <w:tab w:val="left" w:pos="0"/>
        </w:tabs>
        <w:spacing w:before="240" w:line="240" w:lineRule="auto"/>
        <w:ind w:left="0" w:firstLine="0"/>
      </w:pPr>
      <w:r w:rsidRPr="005E290F">
        <w:rPr>
          <w:szCs w:val="24"/>
        </w:rPr>
        <w:t xml:space="preserve">Raymond </w:t>
      </w:r>
      <w:r w:rsidRPr="005E290F">
        <w:rPr>
          <w:i/>
          <w:szCs w:val="24"/>
        </w:rPr>
        <w:t>et al</w:t>
      </w:r>
      <w:r w:rsidRPr="005E290F">
        <w:rPr>
          <w:szCs w:val="24"/>
        </w:rPr>
        <w:t xml:space="preserve"> (2016)</w:t>
      </w:r>
      <w:r w:rsidR="00782109" w:rsidRPr="005E290F">
        <w:rPr>
          <w:szCs w:val="24"/>
        </w:rPr>
        <w:t xml:space="preserve"> </w:t>
      </w:r>
      <w:r w:rsidR="00782109" w:rsidRPr="005E290F">
        <w:rPr>
          <w:rFonts w:cs="Arial"/>
          <w:color w:val="231F20"/>
          <w:szCs w:val="24"/>
        </w:rPr>
        <w:t>treated eighteen healthy volunteers twice a day for 7 days</w:t>
      </w:r>
      <w:r w:rsidR="00D63C55" w:rsidRPr="005E290F">
        <w:rPr>
          <w:rFonts w:cs="Arial"/>
          <w:color w:val="231F20"/>
          <w:szCs w:val="24"/>
        </w:rPr>
        <w:t xml:space="preserve"> </w:t>
      </w:r>
      <w:r w:rsidR="00782109" w:rsidRPr="005E290F">
        <w:rPr>
          <w:rFonts w:cs="Arial"/>
          <w:color w:val="231F20"/>
          <w:szCs w:val="24"/>
        </w:rPr>
        <w:t>with an oral dose of 500 mg cefprozil, a second-generation cephalosporin, and the participants collected faeces samples at three time points: before the antibiotic treatment at the end of the treatment, and 90 days after the end of the treatment. Six non-treated volunteers acted as controls. Metagenomic DNA sequencing was performed on the faecal samples</w:t>
      </w:r>
      <w:r w:rsidR="006F539A" w:rsidRPr="005E290F">
        <w:rPr>
          <w:rFonts w:cs="Arial"/>
          <w:color w:val="231F20"/>
          <w:szCs w:val="24"/>
        </w:rPr>
        <w:t xml:space="preserve">. Each participant had a specific subset of </w:t>
      </w:r>
      <w:r w:rsidR="006F539A" w:rsidRPr="005E290F">
        <w:rPr>
          <w:rFonts w:cs="Arial"/>
          <w:i/>
          <w:color w:val="231F20"/>
          <w:szCs w:val="24"/>
        </w:rPr>
        <w:t>Bacteroides</w:t>
      </w:r>
      <w:r w:rsidR="006F539A" w:rsidRPr="005E290F">
        <w:rPr>
          <w:rFonts w:cs="Arial"/>
          <w:color w:val="231F20"/>
          <w:szCs w:val="24"/>
        </w:rPr>
        <w:t xml:space="preserve"> species and inter-individual variability at the species</w:t>
      </w:r>
      <w:r w:rsidR="00236BC9" w:rsidRPr="005E290F">
        <w:rPr>
          <w:rFonts w:cs="Arial"/>
          <w:color w:val="231F20"/>
          <w:szCs w:val="24"/>
        </w:rPr>
        <w:t xml:space="preserve"> </w:t>
      </w:r>
      <w:r w:rsidR="006F539A" w:rsidRPr="005E290F">
        <w:rPr>
          <w:rFonts w:cs="Arial"/>
          <w:color w:val="231F20"/>
          <w:szCs w:val="24"/>
        </w:rPr>
        <w:t xml:space="preserve">level was greater than the effect of the antibiotic </w:t>
      </w:r>
      <w:r w:rsidR="00B978C5" w:rsidRPr="005E290F">
        <w:rPr>
          <w:rFonts w:cs="Arial"/>
          <w:color w:val="231F20"/>
          <w:szCs w:val="24"/>
        </w:rPr>
        <w:t>in most cases</w:t>
      </w:r>
      <w:r w:rsidR="006F539A" w:rsidRPr="005E290F">
        <w:rPr>
          <w:rFonts w:cs="Arial"/>
          <w:color w:val="231F20"/>
          <w:szCs w:val="24"/>
        </w:rPr>
        <w:t xml:space="preserve">. Species belonging to the genera </w:t>
      </w:r>
      <w:r w:rsidR="006F539A" w:rsidRPr="005E290F">
        <w:rPr>
          <w:rFonts w:cs="Arial"/>
          <w:i/>
          <w:color w:val="231F20"/>
          <w:szCs w:val="24"/>
        </w:rPr>
        <w:t>Akkermansia, Alistipes, Bacteroides, Dialister,</w:t>
      </w:r>
      <w:r w:rsidR="006F539A" w:rsidRPr="005E290F">
        <w:rPr>
          <w:rFonts w:cs="Arial"/>
          <w:color w:val="231F20"/>
          <w:szCs w:val="24"/>
        </w:rPr>
        <w:t xml:space="preserve"> </w:t>
      </w:r>
      <w:r w:rsidR="006F539A" w:rsidRPr="005E290F">
        <w:rPr>
          <w:rFonts w:cs="Arial"/>
          <w:i/>
          <w:color w:val="231F20"/>
          <w:szCs w:val="24"/>
        </w:rPr>
        <w:t>Parabacteroides</w:t>
      </w:r>
      <w:r w:rsidR="006F539A" w:rsidRPr="005E290F">
        <w:rPr>
          <w:rFonts w:cs="Arial"/>
          <w:color w:val="231F20"/>
          <w:szCs w:val="24"/>
        </w:rPr>
        <w:t xml:space="preserve"> or </w:t>
      </w:r>
      <w:r w:rsidR="006F539A" w:rsidRPr="005E290F">
        <w:rPr>
          <w:rFonts w:cs="Arial"/>
          <w:i/>
          <w:color w:val="231F20"/>
          <w:szCs w:val="24"/>
        </w:rPr>
        <w:t>Prevotella</w:t>
      </w:r>
      <w:r w:rsidR="006F539A" w:rsidRPr="005E290F">
        <w:rPr>
          <w:rFonts w:cs="Arial"/>
          <w:color w:val="231F20"/>
          <w:szCs w:val="24"/>
        </w:rPr>
        <w:t xml:space="preserve"> were typically found, with </w:t>
      </w:r>
      <w:r w:rsidR="006F539A" w:rsidRPr="005E290F">
        <w:rPr>
          <w:rFonts w:cs="Arial"/>
          <w:i/>
          <w:color w:val="231F20"/>
          <w:szCs w:val="24"/>
        </w:rPr>
        <w:t>Bacteroides</w:t>
      </w:r>
      <w:r w:rsidR="006F539A" w:rsidRPr="005E290F">
        <w:rPr>
          <w:rFonts w:cs="Arial"/>
          <w:color w:val="231F20"/>
          <w:szCs w:val="24"/>
        </w:rPr>
        <w:t xml:space="preserve"> being dominant in 40 out of 72 samples.</w:t>
      </w:r>
      <w:r w:rsidR="00D87061" w:rsidRPr="005E290F">
        <w:rPr>
          <w:rFonts w:cs="Arial"/>
          <w:color w:val="231F20"/>
          <w:szCs w:val="24"/>
        </w:rPr>
        <w:t xml:space="preserve"> The most consistent effect of the antibiotic was the increase of </w:t>
      </w:r>
      <w:r w:rsidR="00D87061" w:rsidRPr="005E290F">
        <w:rPr>
          <w:rFonts w:cs="Arial"/>
          <w:i/>
          <w:color w:val="231F20"/>
          <w:szCs w:val="24"/>
        </w:rPr>
        <w:t>Lachnoclostridium bolteae</w:t>
      </w:r>
      <w:r w:rsidR="00D87061" w:rsidRPr="005E290F">
        <w:rPr>
          <w:rFonts w:cs="Arial"/>
          <w:color w:val="231F20"/>
          <w:szCs w:val="24"/>
        </w:rPr>
        <w:t xml:space="preserve"> in 16 out of the 18 cefprozil-treated subjects. A subgroup of participants w</w:t>
      </w:r>
      <w:r w:rsidR="00236BC9" w:rsidRPr="005E290F">
        <w:rPr>
          <w:rFonts w:cs="Arial"/>
          <w:color w:val="231F20"/>
          <w:szCs w:val="24"/>
        </w:rPr>
        <w:t>as</w:t>
      </w:r>
      <w:r w:rsidR="00D87061" w:rsidRPr="005E290F">
        <w:rPr>
          <w:rFonts w:cs="Arial"/>
          <w:color w:val="231F20"/>
          <w:szCs w:val="24"/>
        </w:rPr>
        <w:t xml:space="preserve"> found to be enriched in the opportunistic pathogen </w:t>
      </w:r>
      <w:r w:rsidR="00D87061" w:rsidRPr="005E290F">
        <w:rPr>
          <w:rFonts w:cs="Arial"/>
          <w:i/>
          <w:color w:val="231F20"/>
          <w:szCs w:val="24"/>
        </w:rPr>
        <w:t>Enterobacter cloacae</w:t>
      </w:r>
      <w:r w:rsidR="00D87061" w:rsidRPr="005E290F">
        <w:rPr>
          <w:rFonts w:cs="Arial"/>
          <w:color w:val="231F20"/>
          <w:szCs w:val="24"/>
        </w:rPr>
        <w:t xml:space="preserve"> after antibiotic treatment, an effect linked to lower initial microbiome diversity and to a </w:t>
      </w:r>
      <w:r w:rsidR="00D87061" w:rsidRPr="005E290F">
        <w:rPr>
          <w:rFonts w:cs="Arial"/>
          <w:i/>
          <w:color w:val="231F20"/>
          <w:szCs w:val="24"/>
        </w:rPr>
        <w:t>Bacteroides</w:t>
      </w:r>
      <w:r w:rsidR="00D87061" w:rsidRPr="005E290F">
        <w:rPr>
          <w:rFonts w:cs="Arial"/>
          <w:color w:val="231F20"/>
          <w:szCs w:val="24"/>
        </w:rPr>
        <w:t xml:space="preserve"> enterotype</w:t>
      </w:r>
      <w:r w:rsidR="00B31D10">
        <w:rPr>
          <w:rFonts w:cs="Arial"/>
          <w:color w:val="231F20"/>
          <w:szCs w:val="24"/>
        </w:rPr>
        <w:t xml:space="preserve"> (a bacterial population enriched in the named taxon)</w:t>
      </w:r>
      <w:r w:rsidR="00B978C5" w:rsidRPr="005E290F">
        <w:rPr>
          <w:rFonts w:cs="Arial"/>
          <w:color w:val="231F20"/>
          <w:szCs w:val="24"/>
        </w:rPr>
        <w:t>, but levels had returned to pre-treatment levels by 90 days post-treatment</w:t>
      </w:r>
      <w:r w:rsidR="00D87061" w:rsidRPr="005E290F">
        <w:rPr>
          <w:rFonts w:cs="Arial"/>
          <w:color w:val="231F20"/>
          <w:szCs w:val="24"/>
        </w:rPr>
        <w:t xml:space="preserve">. The AMR gene content of participants’ microbiomes was found to be altered by the cefprozil in a manner specific to the individual. </w:t>
      </w:r>
      <w:r w:rsidR="00B978C5" w:rsidRPr="005E290F">
        <w:rPr>
          <w:rFonts w:cs="Arial"/>
          <w:color w:val="231F20"/>
          <w:szCs w:val="24"/>
        </w:rPr>
        <w:t>P</w:t>
      </w:r>
      <w:r w:rsidR="00D87061" w:rsidRPr="005E290F">
        <w:rPr>
          <w:rFonts w:cs="Arial"/>
          <w:color w:val="231F20"/>
          <w:szCs w:val="24"/>
        </w:rPr>
        <w:t>oint mutations in beta-lactamase bla</w:t>
      </w:r>
      <w:r w:rsidR="00D87061" w:rsidRPr="005E290F">
        <w:rPr>
          <w:rFonts w:cs="Arial"/>
          <w:color w:val="231F20"/>
          <w:szCs w:val="24"/>
          <w:vertAlign w:val="subscript"/>
        </w:rPr>
        <w:t xml:space="preserve">CfxA-6 </w:t>
      </w:r>
      <w:r w:rsidR="00D87061" w:rsidRPr="005E290F">
        <w:rPr>
          <w:rFonts w:cs="Arial"/>
          <w:color w:val="231F20"/>
          <w:szCs w:val="24"/>
        </w:rPr>
        <w:t xml:space="preserve">were enriched after antibiotic treatment in several participants. </w:t>
      </w:r>
      <w:r w:rsidR="00B978C5" w:rsidRPr="005E290F">
        <w:rPr>
          <w:rFonts w:cs="Arial"/>
          <w:color w:val="231F20"/>
          <w:szCs w:val="24"/>
        </w:rPr>
        <w:t xml:space="preserve">The authors </w:t>
      </w:r>
      <w:r w:rsidR="00D87061" w:rsidRPr="005E290F">
        <w:rPr>
          <w:rFonts w:cs="Arial"/>
          <w:color w:val="231F20"/>
          <w:szCs w:val="24"/>
        </w:rPr>
        <w:t>suggest</w:t>
      </w:r>
      <w:r w:rsidR="00B978C5" w:rsidRPr="005E290F">
        <w:rPr>
          <w:rFonts w:cs="Arial"/>
          <w:color w:val="231F20"/>
          <w:szCs w:val="24"/>
        </w:rPr>
        <w:t>ed</w:t>
      </w:r>
      <w:r w:rsidR="00D87061" w:rsidRPr="005E290F">
        <w:rPr>
          <w:rFonts w:cs="Arial"/>
          <w:color w:val="231F20"/>
          <w:szCs w:val="24"/>
        </w:rPr>
        <w:t xml:space="preserve"> that monitoring the initial composition of the microbiome before</w:t>
      </w:r>
      <w:r w:rsidR="00B978C5" w:rsidRPr="005E290F">
        <w:rPr>
          <w:rFonts w:cs="Arial"/>
          <w:color w:val="231F20"/>
          <w:szCs w:val="24"/>
        </w:rPr>
        <w:t xml:space="preserve"> </w:t>
      </w:r>
      <w:r w:rsidR="00D87061" w:rsidRPr="005E290F">
        <w:rPr>
          <w:rFonts w:cs="Arial"/>
          <w:color w:val="231F20"/>
          <w:szCs w:val="24"/>
        </w:rPr>
        <w:t>treatment could assist in the prevention of some of the adverse effects associated with antibiotics or</w:t>
      </w:r>
      <w:r w:rsidR="00B978C5" w:rsidRPr="005E290F">
        <w:rPr>
          <w:rFonts w:cs="Arial"/>
          <w:color w:val="231F20"/>
          <w:szCs w:val="24"/>
        </w:rPr>
        <w:t xml:space="preserve"> </w:t>
      </w:r>
      <w:r w:rsidR="00D87061" w:rsidRPr="005E290F">
        <w:rPr>
          <w:rFonts w:cs="Arial"/>
          <w:color w:val="231F20"/>
          <w:szCs w:val="24"/>
        </w:rPr>
        <w:t>other treatments.</w:t>
      </w:r>
    </w:p>
    <w:p w:rsidR="005E290F" w:rsidRPr="005E290F" w:rsidRDefault="005E290F" w:rsidP="00F40887">
      <w:pPr>
        <w:pStyle w:val="ListParagraph"/>
        <w:tabs>
          <w:tab w:val="left" w:pos="0"/>
        </w:tabs>
        <w:spacing w:before="240" w:line="240" w:lineRule="auto"/>
        <w:ind w:left="0"/>
      </w:pPr>
    </w:p>
    <w:p w:rsidR="006F112B" w:rsidRPr="005E290F" w:rsidRDefault="00270D80" w:rsidP="00F40887">
      <w:pPr>
        <w:pStyle w:val="ListParagraph"/>
        <w:numPr>
          <w:ilvl w:val="2"/>
          <w:numId w:val="1"/>
        </w:numPr>
        <w:tabs>
          <w:tab w:val="left" w:pos="0"/>
        </w:tabs>
        <w:spacing w:before="240" w:line="240" w:lineRule="auto"/>
        <w:ind w:left="0" w:firstLine="0"/>
      </w:pPr>
      <w:r w:rsidRPr="005E290F">
        <w:rPr>
          <w:szCs w:val="24"/>
        </w:rPr>
        <w:t xml:space="preserve">Maurice </w:t>
      </w:r>
      <w:r w:rsidR="00883B0A" w:rsidRPr="005E290F">
        <w:rPr>
          <w:i/>
          <w:szCs w:val="24"/>
        </w:rPr>
        <w:t xml:space="preserve">et al </w:t>
      </w:r>
      <w:r w:rsidR="00883B0A" w:rsidRPr="005E290F">
        <w:rPr>
          <w:szCs w:val="24"/>
        </w:rPr>
        <w:t>(2013) took faecal samples from three healthy adult volunteers</w:t>
      </w:r>
      <w:r w:rsidR="00717FD1" w:rsidRPr="005E290F">
        <w:rPr>
          <w:szCs w:val="24"/>
        </w:rPr>
        <w:t xml:space="preserve"> and </w:t>
      </w:r>
      <w:r w:rsidR="00883B0A" w:rsidRPr="005E290F">
        <w:rPr>
          <w:szCs w:val="24"/>
        </w:rPr>
        <w:t xml:space="preserve">characterised their bacterial populations </w:t>
      </w:r>
      <w:r w:rsidR="00883B0A" w:rsidRPr="005E290F">
        <w:rPr>
          <w:i/>
          <w:szCs w:val="24"/>
        </w:rPr>
        <w:t>ex vivo</w:t>
      </w:r>
      <w:r w:rsidR="00883B0A" w:rsidRPr="005E290F">
        <w:rPr>
          <w:szCs w:val="24"/>
        </w:rPr>
        <w:t xml:space="preserve"> in the presence and absence of antibiotics and host-targeted drugs. Bacteria were typed into groupings of low or high nucleic acid content (LNA and HNA</w:t>
      </w:r>
      <w:r w:rsidR="00B3788F">
        <w:rPr>
          <w:szCs w:val="24"/>
        </w:rPr>
        <w:t>,</w:t>
      </w:r>
      <w:r w:rsidR="00883B0A" w:rsidRPr="005E290F">
        <w:rPr>
          <w:szCs w:val="24"/>
        </w:rPr>
        <w:t xml:space="preserve"> respectively), which corresponded with their metabolic activity, and types that were </w:t>
      </w:r>
      <w:r w:rsidR="00F46162" w:rsidRPr="005E290F">
        <w:rPr>
          <w:szCs w:val="24"/>
        </w:rPr>
        <w:t>measured as damaged, either by loss of membrane integrity (Pi*) or of membrane polarity (DiBAC</w:t>
      </w:r>
      <w:r w:rsidR="00F46162" w:rsidRPr="005E290F">
        <w:rPr>
          <w:szCs w:val="24"/>
          <w:vertAlign w:val="superscript"/>
        </w:rPr>
        <w:t>+</w:t>
      </w:r>
      <w:r w:rsidR="00F46162" w:rsidRPr="005E290F">
        <w:rPr>
          <w:szCs w:val="24"/>
        </w:rPr>
        <w:t xml:space="preserve">). The HNA/ high energy phenotype correlated with the highest level of damage and was </w:t>
      </w:r>
      <w:r w:rsidR="00B3788F">
        <w:rPr>
          <w:szCs w:val="24"/>
        </w:rPr>
        <w:t>due</w:t>
      </w:r>
      <w:r w:rsidR="00F46162" w:rsidRPr="005E290F">
        <w:rPr>
          <w:szCs w:val="24"/>
        </w:rPr>
        <w:t xml:space="preserve"> to the </w:t>
      </w:r>
      <w:r w:rsidR="00F46162" w:rsidRPr="005E290F">
        <w:rPr>
          <w:i/>
          <w:szCs w:val="24"/>
        </w:rPr>
        <w:t>Clostridiales</w:t>
      </w:r>
      <w:r w:rsidR="00F46162" w:rsidRPr="005E290F">
        <w:rPr>
          <w:szCs w:val="24"/>
        </w:rPr>
        <w:t xml:space="preserve"> within the </w:t>
      </w:r>
      <w:r w:rsidR="00F46162" w:rsidRPr="005E290F">
        <w:rPr>
          <w:i/>
          <w:szCs w:val="24"/>
        </w:rPr>
        <w:t>Firmicutes</w:t>
      </w:r>
      <w:r w:rsidR="00F46162" w:rsidRPr="005E290F">
        <w:rPr>
          <w:szCs w:val="24"/>
        </w:rPr>
        <w:t xml:space="preserve"> phylum</w:t>
      </w:r>
      <w:r w:rsidR="006226F9" w:rsidRPr="005E290F">
        <w:rPr>
          <w:szCs w:val="24"/>
        </w:rPr>
        <w:t>.</w:t>
      </w:r>
      <w:r w:rsidR="00F46162" w:rsidRPr="005E290F">
        <w:rPr>
          <w:szCs w:val="24"/>
        </w:rPr>
        <w:t xml:space="preserve"> The </w:t>
      </w:r>
      <w:r w:rsidR="00F46162" w:rsidRPr="005E290F">
        <w:rPr>
          <w:i/>
          <w:szCs w:val="24"/>
        </w:rPr>
        <w:t>Bacteroidetes</w:t>
      </w:r>
      <w:r w:rsidR="00F46162" w:rsidRPr="005E290F">
        <w:rPr>
          <w:szCs w:val="24"/>
        </w:rPr>
        <w:t xml:space="preserve">, in particular the </w:t>
      </w:r>
      <w:r w:rsidR="00284DB5" w:rsidRPr="005E290F">
        <w:rPr>
          <w:i/>
          <w:szCs w:val="24"/>
        </w:rPr>
        <w:t>Bifidobacteriales</w:t>
      </w:r>
      <w:r w:rsidR="00284DB5" w:rsidRPr="005E290F">
        <w:rPr>
          <w:szCs w:val="24"/>
        </w:rPr>
        <w:t xml:space="preserve">, were low energy/ LNA organisms. Upon antibiotic treatment, especially with cell wall-targeting compounds, the proportion of damaged cells increased, without changes in the proportion of HNA/LNA, suggesting membrane damage without complete lysis. The </w:t>
      </w:r>
      <w:r w:rsidR="00284DB5" w:rsidRPr="005E290F">
        <w:rPr>
          <w:i/>
          <w:szCs w:val="24"/>
        </w:rPr>
        <w:t>Firmicutes</w:t>
      </w:r>
      <w:r w:rsidR="00284DB5" w:rsidRPr="005E290F">
        <w:rPr>
          <w:szCs w:val="24"/>
        </w:rPr>
        <w:t xml:space="preserve">, being Gram-positive, were particularly affected. There was substantial temporal variation in </w:t>
      </w:r>
      <w:r w:rsidR="00B5771F" w:rsidRPr="005E290F">
        <w:rPr>
          <w:szCs w:val="24"/>
        </w:rPr>
        <w:t>damage to the structure of the microbial community</w:t>
      </w:r>
      <w:r w:rsidR="00FC1377" w:rsidRPr="005E290F">
        <w:rPr>
          <w:szCs w:val="24"/>
        </w:rPr>
        <w:t xml:space="preserve"> following antibiotic treatment</w:t>
      </w:r>
      <w:r w:rsidR="009C6671" w:rsidRPr="005E290F">
        <w:rPr>
          <w:szCs w:val="24"/>
        </w:rPr>
        <w:t>, alth</w:t>
      </w:r>
      <w:r w:rsidR="005A33B0" w:rsidRPr="005E290F">
        <w:rPr>
          <w:szCs w:val="24"/>
        </w:rPr>
        <w:t xml:space="preserve">ough this was small when compared with inter-individual differences. By contrast, host-targeting drugs produced only very minor changes in community structure. A variety of genes were </w:t>
      </w:r>
      <w:proofErr w:type="gramStart"/>
      <w:r w:rsidR="005A33B0" w:rsidRPr="005E290F">
        <w:rPr>
          <w:szCs w:val="24"/>
        </w:rPr>
        <w:t>up-regulated</w:t>
      </w:r>
      <w:proofErr w:type="gramEnd"/>
      <w:r w:rsidR="005A33B0" w:rsidRPr="005E290F">
        <w:rPr>
          <w:szCs w:val="24"/>
        </w:rPr>
        <w:t xml:space="preserve"> in response to antibiotic and </w:t>
      </w:r>
      <w:r w:rsidR="006C4FAF" w:rsidRPr="005E290F">
        <w:rPr>
          <w:szCs w:val="24"/>
        </w:rPr>
        <w:t>non-antibiotic drug treatment.</w:t>
      </w:r>
    </w:p>
    <w:p w:rsidR="005E290F" w:rsidRPr="005E290F" w:rsidRDefault="005E290F" w:rsidP="00F40887">
      <w:pPr>
        <w:pStyle w:val="ListParagraph"/>
        <w:tabs>
          <w:tab w:val="left" w:pos="0"/>
        </w:tabs>
        <w:spacing w:before="240" w:line="240" w:lineRule="auto"/>
        <w:ind w:left="0"/>
      </w:pPr>
    </w:p>
    <w:p w:rsidR="00184051" w:rsidRPr="005E290F" w:rsidRDefault="00184051" w:rsidP="00F40887">
      <w:pPr>
        <w:pStyle w:val="ListParagraph"/>
        <w:numPr>
          <w:ilvl w:val="2"/>
          <w:numId w:val="1"/>
        </w:numPr>
        <w:tabs>
          <w:tab w:val="left" w:pos="0"/>
        </w:tabs>
        <w:spacing w:before="240" w:line="240" w:lineRule="auto"/>
        <w:ind w:left="0" w:firstLine="0"/>
      </w:pPr>
      <w:r w:rsidRPr="005E290F">
        <w:rPr>
          <w:szCs w:val="24"/>
        </w:rPr>
        <w:t xml:space="preserve">Arat </w:t>
      </w:r>
      <w:r w:rsidRPr="005E290F">
        <w:rPr>
          <w:i/>
          <w:szCs w:val="24"/>
        </w:rPr>
        <w:t>et al</w:t>
      </w:r>
      <w:r w:rsidRPr="005E290F">
        <w:rPr>
          <w:szCs w:val="24"/>
        </w:rPr>
        <w:t xml:space="preserve"> (2015)</w:t>
      </w:r>
      <w:r w:rsidR="00111A43" w:rsidRPr="005E290F">
        <w:rPr>
          <w:szCs w:val="24"/>
        </w:rPr>
        <w:t xml:space="preserve"> treated 61 healthy volunteers in a dose-escalation study of GSK1322322, a novel antibiotic targeting the bacterial enzyme peptide deformylase</w:t>
      </w:r>
      <w:r w:rsidR="00B31D10">
        <w:rPr>
          <w:szCs w:val="24"/>
        </w:rPr>
        <w:t>,</w:t>
      </w:r>
      <w:r w:rsidR="00111A43" w:rsidRPr="005E290F">
        <w:rPr>
          <w:szCs w:val="24"/>
        </w:rPr>
        <w:t xml:space="preserve"> with iv-only and oral-and iv dosing</w:t>
      </w:r>
      <w:r w:rsidR="006B705F" w:rsidRPr="005E290F">
        <w:rPr>
          <w:szCs w:val="24"/>
        </w:rPr>
        <w:t xml:space="preserve">. </w:t>
      </w:r>
      <w:r w:rsidR="0056783C" w:rsidRPr="005E290F">
        <w:rPr>
          <w:szCs w:val="24"/>
        </w:rPr>
        <w:t xml:space="preserve">Only the oral-and -iv regimen affected the balance of bacterial taxa in the volunteers’ faeces samples, with </w:t>
      </w:r>
      <w:r w:rsidR="00B3788F">
        <w:rPr>
          <w:szCs w:val="24"/>
        </w:rPr>
        <w:t>decreases</w:t>
      </w:r>
      <w:r w:rsidR="00B3788F" w:rsidRPr="005E290F">
        <w:rPr>
          <w:szCs w:val="24"/>
        </w:rPr>
        <w:t xml:space="preserve"> </w:t>
      </w:r>
      <w:r w:rsidR="0056783C" w:rsidRPr="005E290F">
        <w:rPr>
          <w:szCs w:val="24"/>
        </w:rPr>
        <w:t xml:space="preserve">in the titre of species in the </w:t>
      </w:r>
      <w:r w:rsidR="0056783C" w:rsidRPr="005E290F">
        <w:rPr>
          <w:i/>
          <w:szCs w:val="24"/>
        </w:rPr>
        <w:t>Bacteroidetes</w:t>
      </w:r>
      <w:r w:rsidR="0056783C" w:rsidRPr="005E290F">
        <w:rPr>
          <w:szCs w:val="24"/>
        </w:rPr>
        <w:t xml:space="preserve"> and </w:t>
      </w:r>
      <w:r w:rsidR="0056783C" w:rsidRPr="005E290F">
        <w:rPr>
          <w:i/>
          <w:szCs w:val="24"/>
        </w:rPr>
        <w:t>Firmicutes</w:t>
      </w:r>
      <w:r w:rsidR="0056783C" w:rsidRPr="005E290F">
        <w:rPr>
          <w:szCs w:val="24"/>
        </w:rPr>
        <w:t xml:space="preserve"> and an increase in members of the </w:t>
      </w:r>
      <w:r w:rsidR="0056783C" w:rsidRPr="005E290F">
        <w:rPr>
          <w:i/>
          <w:szCs w:val="24"/>
        </w:rPr>
        <w:t>Actinobacteria</w:t>
      </w:r>
      <w:r w:rsidR="0056783C" w:rsidRPr="005E290F">
        <w:rPr>
          <w:szCs w:val="24"/>
        </w:rPr>
        <w:t xml:space="preserve"> and </w:t>
      </w:r>
      <w:r w:rsidR="0056783C" w:rsidRPr="005E290F">
        <w:rPr>
          <w:i/>
          <w:szCs w:val="24"/>
        </w:rPr>
        <w:t xml:space="preserve">Protobacteria </w:t>
      </w:r>
      <w:r w:rsidR="0056783C" w:rsidRPr="005E290F">
        <w:rPr>
          <w:szCs w:val="24"/>
        </w:rPr>
        <w:t>at the end of the study. Functionally, there was an overall decrease in metabolic pathways for terpenoids and polyphenols, protein folding</w:t>
      </w:r>
      <w:r w:rsidR="006C4D7D" w:rsidRPr="005E290F">
        <w:rPr>
          <w:szCs w:val="24"/>
        </w:rPr>
        <w:t>,</w:t>
      </w:r>
      <w:r w:rsidR="0056783C" w:rsidRPr="005E290F">
        <w:rPr>
          <w:szCs w:val="24"/>
        </w:rPr>
        <w:t xml:space="preserve"> </w:t>
      </w:r>
      <w:r w:rsidR="006C4D7D" w:rsidRPr="005E290F">
        <w:rPr>
          <w:szCs w:val="24"/>
        </w:rPr>
        <w:t>s</w:t>
      </w:r>
      <w:r w:rsidR="0056783C" w:rsidRPr="005E290F">
        <w:rPr>
          <w:szCs w:val="24"/>
        </w:rPr>
        <w:t xml:space="preserve">orting and degradation and the </w:t>
      </w:r>
      <w:r w:rsidR="00481088" w:rsidRPr="005E290F">
        <w:rPr>
          <w:szCs w:val="24"/>
        </w:rPr>
        <w:t>metabolism of cofactors and vitamins. Functions increased included multi-drug transporters, xenobiotic metabolism and signal transduction.</w:t>
      </w:r>
      <w:r w:rsidR="00CF7D6F" w:rsidRPr="005E290F">
        <w:rPr>
          <w:szCs w:val="24"/>
        </w:rPr>
        <w:t xml:space="preserve"> The authors </w:t>
      </w:r>
      <w:r w:rsidR="006C4D7D" w:rsidRPr="005E290F">
        <w:rPr>
          <w:szCs w:val="24"/>
        </w:rPr>
        <w:t xml:space="preserve">pointed out that this was the first human study to highlight the difference in the effect of oral vs iv dosing on the gut biota and pointed out the similarities in their results to the mouse study of Zhang </w:t>
      </w:r>
      <w:r w:rsidR="006C4D7D" w:rsidRPr="005E290F">
        <w:rPr>
          <w:i/>
          <w:szCs w:val="24"/>
        </w:rPr>
        <w:t>et al</w:t>
      </w:r>
      <w:r w:rsidR="006C4D7D" w:rsidRPr="005E290F">
        <w:rPr>
          <w:szCs w:val="24"/>
        </w:rPr>
        <w:t xml:space="preserve"> (2013, Table 3).</w:t>
      </w:r>
    </w:p>
    <w:p w:rsidR="005E290F" w:rsidRDefault="005E290F" w:rsidP="00F40887">
      <w:pPr>
        <w:pStyle w:val="ListParagraph"/>
      </w:pPr>
    </w:p>
    <w:p w:rsidR="007D7D47" w:rsidRPr="005E290F" w:rsidRDefault="007D7D47" w:rsidP="00F40887">
      <w:pPr>
        <w:pStyle w:val="ListParagraph"/>
        <w:numPr>
          <w:ilvl w:val="2"/>
          <w:numId w:val="1"/>
        </w:numPr>
        <w:tabs>
          <w:tab w:val="left" w:pos="0"/>
        </w:tabs>
        <w:spacing w:before="240" w:line="240" w:lineRule="auto"/>
        <w:ind w:left="0" w:firstLine="0"/>
      </w:pPr>
      <w:r w:rsidRPr="005E290F">
        <w:rPr>
          <w:szCs w:val="24"/>
        </w:rPr>
        <w:t xml:space="preserve">De Gunzburg </w:t>
      </w:r>
      <w:r w:rsidRPr="005E290F">
        <w:rPr>
          <w:i/>
          <w:szCs w:val="24"/>
        </w:rPr>
        <w:t>et al</w:t>
      </w:r>
      <w:r w:rsidRPr="005E290F">
        <w:rPr>
          <w:szCs w:val="24"/>
        </w:rPr>
        <w:t xml:space="preserve"> (2018) treated 44 healthy volunteers</w:t>
      </w:r>
      <w:r w:rsidR="00D93773" w:rsidRPr="005E290F">
        <w:rPr>
          <w:szCs w:val="24"/>
        </w:rPr>
        <w:t xml:space="preserve"> orally for 7 days</w:t>
      </w:r>
      <w:r w:rsidRPr="005E290F">
        <w:rPr>
          <w:szCs w:val="24"/>
        </w:rPr>
        <w:t xml:space="preserve"> with moxifloxacin (MFX, 400 mg, n = 14), 400 mg MFX-plus-DAV132 (a form of activated charcoal, </w:t>
      </w:r>
      <w:r w:rsidR="00D93773" w:rsidRPr="005E290F">
        <w:rPr>
          <w:szCs w:val="24"/>
        </w:rPr>
        <w:t>7.</w:t>
      </w:r>
      <w:r w:rsidRPr="005E290F">
        <w:rPr>
          <w:szCs w:val="24"/>
        </w:rPr>
        <w:t>5g) n = 14, DAV132 alone (5g n=8) or a control consisting of the DAV132 preparation with microcrystalline cellul</w:t>
      </w:r>
      <w:r w:rsidR="00A12D9F" w:rsidRPr="005E290F">
        <w:rPr>
          <w:szCs w:val="24"/>
        </w:rPr>
        <w:t>ose</w:t>
      </w:r>
      <w:r w:rsidRPr="005E290F">
        <w:rPr>
          <w:szCs w:val="24"/>
        </w:rPr>
        <w:t xml:space="preserve"> instead of activated charcoal</w:t>
      </w:r>
      <w:r w:rsidR="00D93773" w:rsidRPr="005E290F">
        <w:rPr>
          <w:szCs w:val="24"/>
        </w:rPr>
        <w:t xml:space="preserve"> (n=8). Faecal and blood levels of MFX were measured over the treatment period. DAV132 treatment had no significant effect </w:t>
      </w:r>
      <w:r w:rsidR="00BC52B6">
        <w:rPr>
          <w:szCs w:val="24"/>
        </w:rPr>
        <w:t>on</w:t>
      </w:r>
      <w:r w:rsidR="00BC52B6" w:rsidRPr="005E290F">
        <w:rPr>
          <w:szCs w:val="24"/>
        </w:rPr>
        <w:t xml:space="preserve"> </w:t>
      </w:r>
      <w:r w:rsidR="00D93773" w:rsidRPr="005E290F">
        <w:rPr>
          <w:szCs w:val="24"/>
        </w:rPr>
        <w:t xml:space="preserve">the blood pharmacokinetics of MFX but significantly reduced the MFX </w:t>
      </w:r>
      <w:r w:rsidR="00BC52B6" w:rsidRPr="005E290F">
        <w:rPr>
          <w:szCs w:val="24"/>
        </w:rPr>
        <w:t xml:space="preserve">faecal </w:t>
      </w:r>
      <w:r w:rsidR="00D93773" w:rsidRPr="005E290F">
        <w:rPr>
          <w:szCs w:val="24"/>
        </w:rPr>
        <w:t>AUC.</w:t>
      </w:r>
      <w:r w:rsidR="00F56CFB" w:rsidRPr="005E290F">
        <w:rPr>
          <w:szCs w:val="24"/>
        </w:rPr>
        <w:t xml:space="preserve"> </w:t>
      </w:r>
      <w:r w:rsidR="00DC274B">
        <w:rPr>
          <w:szCs w:val="24"/>
        </w:rPr>
        <w:t xml:space="preserve">The </w:t>
      </w:r>
      <w:r w:rsidR="00F56CFB" w:rsidRPr="005E290F">
        <w:rPr>
          <w:szCs w:val="24"/>
        </w:rPr>
        <w:t xml:space="preserve">MFX associated reduction in microbiota and faecal gene richness did not occur in the presence of DAV132. DAV132 also absorbed a range of other antibiotics </w:t>
      </w:r>
      <w:r w:rsidR="00F604F6" w:rsidRPr="005E290F">
        <w:rPr>
          <w:szCs w:val="24"/>
        </w:rPr>
        <w:t xml:space="preserve">in pig caecal material </w:t>
      </w:r>
      <w:r w:rsidR="00F604F6" w:rsidRPr="005E290F">
        <w:rPr>
          <w:i/>
          <w:szCs w:val="24"/>
        </w:rPr>
        <w:t xml:space="preserve">in </w:t>
      </w:r>
      <w:r w:rsidR="00F56CFB" w:rsidRPr="005E290F">
        <w:rPr>
          <w:i/>
          <w:szCs w:val="24"/>
        </w:rPr>
        <w:t>vitro</w:t>
      </w:r>
      <w:r w:rsidR="00F56CFB" w:rsidRPr="005E290F">
        <w:rPr>
          <w:szCs w:val="24"/>
        </w:rPr>
        <w:t xml:space="preserve"> (penicillins, first and third generation cephalospirins, carbopenems, fluoroquinolones and the lincosamide clincamycin, all at 400</w:t>
      </w:r>
      <w:r w:rsidR="00E57D98">
        <w:rPr>
          <w:szCs w:val="24"/>
        </w:rPr>
        <w:t xml:space="preserve"> </w:t>
      </w:r>
      <w:r w:rsidR="00F56CFB" w:rsidRPr="005E290F">
        <w:rPr>
          <w:rFonts w:ascii="Symbol" w:hAnsi="Symbol"/>
          <w:szCs w:val="24"/>
        </w:rPr>
        <w:t></w:t>
      </w:r>
      <w:r w:rsidR="00F56CFB" w:rsidRPr="005E290F">
        <w:rPr>
          <w:szCs w:val="24"/>
        </w:rPr>
        <w:t>g/ml)</w:t>
      </w:r>
      <w:r w:rsidR="00F604F6" w:rsidRPr="005E290F">
        <w:rPr>
          <w:szCs w:val="24"/>
        </w:rPr>
        <w:t>. The authors suggested that their DAV132 preparation may be co</w:t>
      </w:r>
      <w:r w:rsidR="00184051" w:rsidRPr="005E290F">
        <w:rPr>
          <w:szCs w:val="24"/>
        </w:rPr>
        <w:t>-</w:t>
      </w:r>
      <w:r w:rsidR="00F604F6" w:rsidRPr="005E290F">
        <w:rPr>
          <w:szCs w:val="24"/>
        </w:rPr>
        <w:t xml:space="preserve">administered </w:t>
      </w:r>
      <w:r w:rsidR="00F604F6" w:rsidRPr="005E290F">
        <w:rPr>
          <w:rFonts w:cs="Arial"/>
          <w:szCs w:val="24"/>
        </w:rPr>
        <w:t>to protect the human gut microbiome against the deleterious effects of many antibiotics</w:t>
      </w:r>
      <w:r w:rsidR="00184051" w:rsidRPr="005E290F">
        <w:rPr>
          <w:rFonts w:cs="Arial"/>
          <w:szCs w:val="24"/>
        </w:rPr>
        <w:t>.</w:t>
      </w:r>
    </w:p>
    <w:p w:rsidR="005E290F" w:rsidRDefault="005E290F" w:rsidP="00F40887">
      <w:pPr>
        <w:pStyle w:val="ListParagraph"/>
      </w:pPr>
    </w:p>
    <w:p w:rsidR="00AA3726" w:rsidRPr="005E290F" w:rsidRDefault="00AA3726" w:rsidP="00F40887">
      <w:pPr>
        <w:pStyle w:val="ListParagraph"/>
        <w:numPr>
          <w:ilvl w:val="2"/>
          <w:numId w:val="1"/>
        </w:numPr>
        <w:tabs>
          <w:tab w:val="left" w:pos="0"/>
        </w:tabs>
        <w:spacing w:before="240" w:line="240" w:lineRule="auto"/>
        <w:ind w:left="0" w:firstLine="0"/>
      </w:pPr>
      <w:r w:rsidRPr="005E290F">
        <w:rPr>
          <w:szCs w:val="24"/>
        </w:rPr>
        <w:t>Noga</w:t>
      </w:r>
      <w:r w:rsidR="00E9669D" w:rsidRPr="005E290F">
        <w:rPr>
          <w:szCs w:val="24"/>
        </w:rPr>
        <w:t>c</w:t>
      </w:r>
      <w:r w:rsidRPr="005E290F">
        <w:rPr>
          <w:szCs w:val="24"/>
        </w:rPr>
        <w:t xml:space="preserve">ka </w:t>
      </w:r>
      <w:r w:rsidRPr="005E290F">
        <w:rPr>
          <w:i/>
          <w:iCs/>
          <w:szCs w:val="24"/>
        </w:rPr>
        <w:t>et al</w:t>
      </w:r>
      <w:r w:rsidRPr="005E290F">
        <w:rPr>
          <w:szCs w:val="24"/>
        </w:rPr>
        <w:t xml:space="preserve"> (2017) studied the effects </w:t>
      </w:r>
      <w:r w:rsidR="00BC52B6">
        <w:rPr>
          <w:szCs w:val="24"/>
        </w:rPr>
        <w:t xml:space="preserve">of </w:t>
      </w:r>
      <w:r w:rsidR="00BC52B6" w:rsidRPr="005E290F">
        <w:rPr>
          <w:szCs w:val="24"/>
        </w:rPr>
        <w:t xml:space="preserve">maternal antibiotic prophylaxis during the intrapartum period </w:t>
      </w:r>
      <w:r w:rsidRPr="005E290F">
        <w:rPr>
          <w:szCs w:val="24"/>
        </w:rPr>
        <w:t>on the intestinal microbiota and the presence of a range of AMR genes in vaginally</w:t>
      </w:r>
      <w:r w:rsidR="00A2696C" w:rsidRPr="005E290F">
        <w:rPr>
          <w:szCs w:val="24"/>
        </w:rPr>
        <w:t xml:space="preserve"> </w:t>
      </w:r>
      <w:r w:rsidRPr="005E290F">
        <w:rPr>
          <w:szCs w:val="24"/>
        </w:rPr>
        <w:t>delivered neonates.</w:t>
      </w:r>
      <w:r w:rsidR="00FF56EB" w:rsidRPr="005E290F">
        <w:rPr>
          <w:szCs w:val="24"/>
        </w:rPr>
        <w:t xml:space="preserve"> Of 40 mothers who had uncomplicated vaginal deliveries, 12</w:t>
      </w:r>
      <w:r w:rsidR="00867A2B" w:rsidRPr="005E290F">
        <w:rPr>
          <w:szCs w:val="24"/>
        </w:rPr>
        <w:t xml:space="preserve"> with confirmed or </w:t>
      </w:r>
      <w:r w:rsidR="00E57D98" w:rsidRPr="005E290F">
        <w:rPr>
          <w:szCs w:val="24"/>
        </w:rPr>
        <w:t>suspected vaginal</w:t>
      </w:r>
      <w:r w:rsidR="00867A2B" w:rsidRPr="005E290F">
        <w:rPr>
          <w:szCs w:val="24"/>
        </w:rPr>
        <w:t xml:space="preserve"> group B streptococcal infection</w:t>
      </w:r>
      <w:r w:rsidR="00FF56EB" w:rsidRPr="005E290F">
        <w:rPr>
          <w:szCs w:val="24"/>
        </w:rPr>
        <w:t xml:space="preserve"> were treated </w:t>
      </w:r>
      <w:r w:rsidR="007048F7" w:rsidRPr="005E290F">
        <w:rPr>
          <w:szCs w:val="24"/>
        </w:rPr>
        <w:t>with 5 million units of a penicillin while</w:t>
      </w:r>
      <w:r w:rsidR="00FF56EB" w:rsidRPr="005E290F">
        <w:rPr>
          <w:szCs w:val="24"/>
        </w:rPr>
        <w:t xml:space="preserve"> giving birth</w:t>
      </w:r>
      <w:r w:rsidR="00867A2B" w:rsidRPr="005E290F">
        <w:rPr>
          <w:szCs w:val="24"/>
        </w:rPr>
        <w:t>, followed by 2.5 million units every four hours until delivery was complete (intrapartum antibiotic prophylaxis, IAP). The other 22 mothers without infection did not receive an antibiotic (control). Infants were fed either breast milk or formula</w:t>
      </w:r>
      <w:r w:rsidR="00F11583" w:rsidRPr="005E290F">
        <w:rPr>
          <w:szCs w:val="24"/>
        </w:rPr>
        <w:t>. F</w:t>
      </w:r>
      <w:r w:rsidR="00867A2B" w:rsidRPr="005E290F">
        <w:rPr>
          <w:szCs w:val="24"/>
        </w:rPr>
        <w:t>aecal samples were taken for analysis at 2, 10, 30 and 90 days of age.</w:t>
      </w:r>
      <w:r w:rsidR="00A2696C" w:rsidRPr="005E290F">
        <w:rPr>
          <w:szCs w:val="24"/>
        </w:rPr>
        <w:t xml:space="preserve"> Changes in bacterial taxa were tested for by 16S rRNA gene sequencing and the presence of a range of lactam and non-lactam AMR genes by PCR. </w:t>
      </w:r>
    </w:p>
    <w:p w:rsidR="005E290F" w:rsidRDefault="005E290F" w:rsidP="00F40887">
      <w:pPr>
        <w:pStyle w:val="ListParagraph"/>
      </w:pPr>
    </w:p>
    <w:p w:rsidR="00393F68" w:rsidRPr="005E290F" w:rsidRDefault="00393F68" w:rsidP="00F40887">
      <w:pPr>
        <w:pStyle w:val="ListParagraph"/>
        <w:numPr>
          <w:ilvl w:val="2"/>
          <w:numId w:val="1"/>
        </w:numPr>
        <w:tabs>
          <w:tab w:val="left" w:pos="0"/>
        </w:tabs>
        <w:spacing w:before="240" w:line="240" w:lineRule="auto"/>
        <w:ind w:left="0" w:firstLine="0"/>
      </w:pPr>
      <w:r w:rsidRPr="005E290F">
        <w:rPr>
          <w:szCs w:val="24"/>
        </w:rPr>
        <w:t>In the above study, IAP caused a</w:t>
      </w:r>
      <w:r w:rsidR="004A7BD9" w:rsidRPr="005E290F">
        <w:rPr>
          <w:szCs w:val="24"/>
        </w:rPr>
        <w:t xml:space="preserve"> slight but non-</w:t>
      </w:r>
      <w:r w:rsidRPr="005E290F">
        <w:rPr>
          <w:szCs w:val="24"/>
        </w:rPr>
        <w:t xml:space="preserve">significant delay in SCFA production as seen up to 10 days but thereafter </w:t>
      </w:r>
      <w:r w:rsidR="00DC274B">
        <w:rPr>
          <w:szCs w:val="24"/>
        </w:rPr>
        <w:t xml:space="preserve">there was </w:t>
      </w:r>
      <w:r w:rsidRPr="005E290F">
        <w:rPr>
          <w:szCs w:val="24"/>
        </w:rPr>
        <w:t xml:space="preserve">no </w:t>
      </w:r>
      <w:r w:rsidR="00DC274B">
        <w:rPr>
          <w:szCs w:val="24"/>
        </w:rPr>
        <w:t xml:space="preserve">observed </w:t>
      </w:r>
      <w:r w:rsidRPr="005E290F">
        <w:rPr>
          <w:szCs w:val="24"/>
        </w:rPr>
        <w:t>effect. The infants of IAP exposed mothers had a consistent</w:t>
      </w:r>
      <w:r w:rsidR="00DC274B">
        <w:rPr>
          <w:szCs w:val="24"/>
        </w:rPr>
        <w:t>,</w:t>
      </w:r>
      <w:r w:rsidRPr="005E290F">
        <w:rPr>
          <w:szCs w:val="24"/>
        </w:rPr>
        <w:t xml:space="preserve"> but non-significant</w:t>
      </w:r>
      <w:r w:rsidR="00DC274B">
        <w:rPr>
          <w:szCs w:val="24"/>
        </w:rPr>
        <w:t>,</w:t>
      </w:r>
      <w:r w:rsidRPr="005E290F">
        <w:rPr>
          <w:szCs w:val="24"/>
        </w:rPr>
        <w:t xml:space="preserve"> elevation of the </w:t>
      </w:r>
      <w:r w:rsidRPr="005E290F">
        <w:rPr>
          <w:i/>
          <w:iCs/>
          <w:szCs w:val="24"/>
        </w:rPr>
        <w:t>Protobacteria</w:t>
      </w:r>
      <w:r w:rsidRPr="005E290F">
        <w:rPr>
          <w:szCs w:val="24"/>
        </w:rPr>
        <w:t xml:space="preserve"> across the time course and an increase in the </w:t>
      </w:r>
      <w:r w:rsidRPr="005E290F">
        <w:rPr>
          <w:i/>
          <w:iCs/>
          <w:szCs w:val="24"/>
        </w:rPr>
        <w:t>Firmicutes</w:t>
      </w:r>
      <w:r w:rsidRPr="005E290F">
        <w:rPr>
          <w:szCs w:val="24"/>
        </w:rPr>
        <w:t xml:space="preserve"> that was significant </w:t>
      </w:r>
      <w:r w:rsidR="00737047">
        <w:rPr>
          <w:szCs w:val="24"/>
        </w:rPr>
        <w:t xml:space="preserve">when compared with non-antibiotic-treated controls </w:t>
      </w:r>
      <w:r w:rsidRPr="005E290F">
        <w:rPr>
          <w:szCs w:val="24"/>
        </w:rPr>
        <w:t>at 10 and 90 days</w:t>
      </w:r>
      <w:r w:rsidR="00DC274B">
        <w:rPr>
          <w:szCs w:val="24"/>
        </w:rPr>
        <w:t xml:space="preserve"> of age</w:t>
      </w:r>
      <w:r w:rsidRPr="005E290F">
        <w:rPr>
          <w:szCs w:val="24"/>
        </w:rPr>
        <w:t>.</w:t>
      </w:r>
      <w:r w:rsidR="002361AF" w:rsidRPr="005E290F">
        <w:rPr>
          <w:szCs w:val="24"/>
        </w:rPr>
        <w:t xml:space="preserve"> The </w:t>
      </w:r>
      <w:r w:rsidR="002361AF" w:rsidRPr="005E290F">
        <w:rPr>
          <w:i/>
          <w:iCs/>
          <w:szCs w:val="24"/>
        </w:rPr>
        <w:t xml:space="preserve">Actinobacteria </w:t>
      </w:r>
      <w:r w:rsidR="002361AF" w:rsidRPr="005E290F">
        <w:rPr>
          <w:szCs w:val="24"/>
        </w:rPr>
        <w:t>and the</w:t>
      </w:r>
      <w:r w:rsidR="002361AF" w:rsidRPr="005E290F">
        <w:rPr>
          <w:i/>
          <w:iCs/>
          <w:szCs w:val="24"/>
        </w:rPr>
        <w:t xml:space="preserve"> Bacteroidetes</w:t>
      </w:r>
      <w:r w:rsidR="002361AF" w:rsidRPr="005E290F">
        <w:rPr>
          <w:szCs w:val="24"/>
        </w:rPr>
        <w:t xml:space="preserve"> </w:t>
      </w:r>
      <w:r w:rsidR="004A7BD9" w:rsidRPr="005E290F">
        <w:rPr>
          <w:szCs w:val="24"/>
        </w:rPr>
        <w:t xml:space="preserve">were relatively increased in the controls and this became significant only at 10 days for the </w:t>
      </w:r>
      <w:r w:rsidR="004A7BD9" w:rsidRPr="005E290F">
        <w:rPr>
          <w:i/>
          <w:iCs/>
          <w:szCs w:val="24"/>
        </w:rPr>
        <w:t>Actinobacteria</w:t>
      </w:r>
      <w:r w:rsidR="004A7BD9" w:rsidRPr="005E290F">
        <w:rPr>
          <w:szCs w:val="24"/>
        </w:rPr>
        <w:t xml:space="preserve"> (all significance levels p&lt;0.05). Of the AMR genes, none of the infants tested positive for </w:t>
      </w:r>
      <w:r w:rsidR="004A7BD9" w:rsidRPr="005E290F">
        <w:rPr>
          <w:i/>
          <w:iCs/>
          <w:szCs w:val="24"/>
        </w:rPr>
        <w:t>tetM, tetO, tetA</w:t>
      </w:r>
      <w:r w:rsidR="004A7BD9" w:rsidRPr="005E290F">
        <w:rPr>
          <w:szCs w:val="24"/>
        </w:rPr>
        <w:t xml:space="preserve"> (tetracycline r</w:t>
      </w:r>
      <w:r w:rsidR="00FF1B37" w:rsidRPr="005E290F">
        <w:rPr>
          <w:szCs w:val="24"/>
        </w:rPr>
        <w:t>ibosomal protection protein, trpp</w:t>
      </w:r>
      <w:r w:rsidR="004A7BD9" w:rsidRPr="005E290F">
        <w:rPr>
          <w:szCs w:val="24"/>
        </w:rPr>
        <w:t>)</w:t>
      </w:r>
      <w:r w:rsidR="00FF1B37" w:rsidRPr="005E290F">
        <w:rPr>
          <w:szCs w:val="24"/>
        </w:rPr>
        <w:t xml:space="preserve">, </w:t>
      </w:r>
      <w:r w:rsidR="00FF1B37" w:rsidRPr="005E290F">
        <w:rPr>
          <w:i/>
          <w:iCs/>
          <w:szCs w:val="24"/>
        </w:rPr>
        <w:t>strA</w:t>
      </w:r>
      <w:r w:rsidR="00FF1B37" w:rsidRPr="005E290F">
        <w:rPr>
          <w:szCs w:val="24"/>
        </w:rPr>
        <w:t xml:space="preserve"> (aminoglycoside phosphotransferase)</w:t>
      </w:r>
      <w:r w:rsidR="004A7BD9" w:rsidRPr="005E290F">
        <w:rPr>
          <w:szCs w:val="24"/>
        </w:rPr>
        <w:t xml:space="preserve"> or </w:t>
      </w:r>
      <w:r w:rsidR="004A7BD9" w:rsidRPr="005E290F">
        <w:rPr>
          <w:i/>
          <w:iCs/>
          <w:szCs w:val="24"/>
        </w:rPr>
        <w:t>cmlA1</w:t>
      </w:r>
      <w:r w:rsidR="004A7BD9" w:rsidRPr="005E290F">
        <w:rPr>
          <w:szCs w:val="24"/>
        </w:rPr>
        <w:t xml:space="preserve"> (chloramphenicol efflux pump)</w:t>
      </w:r>
      <w:r w:rsidR="000A504C" w:rsidRPr="005E290F">
        <w:rPr>
          <w:szCs w:val="24"/>
        </w:rPr>
        <w:t>.</w:t>
      </w:r>
      <w:r w:rsidR="00FF1B37" w:rsidRPr="005E290F">
        <w:rPr>
          <w:szCs w:val="24"/>
        </w:rPr>
        <w:t xml:space="preserve"> </w:t>
      </w:r>
      <w:r w:rsidR="000A504C" w:rsidRPr="005E290F">
        <w:rPr>
          <w:szCs w:val="24"/>
        </w:rPr>
        <w:t>O</w:t>
      </w:r>
      <w:r w:rsidR="00FF1B37" w:rsidRPr="005E290F">
        <w:rPr>
          <w:szCs w:val="24"/>
        </w:rPr>
        <w:t>f the others (</w:t>
      </w:r>
      <w:r w:rsidR="00FF1B37" w:rsidRPr="005E290F">
        <w:rPr>
          <w:i/>
          <w:iCs/>
          <w:szCs w:val="24"/>
        </w:rPr>
        <w:t>bla</w:t>
      </w:r>
      <w:r w:rsidR="00FF1B37" w:rsidRPr="005E290F">
        <w:rPr>
          <w:i/>
          <w:iCs/>
          <w:szCs w:val="24"/>
          <w:vertAlign w:val="subscript"/>
        </w:rPr>
        <w:t>tem</w:t>
      </w:r>
      <w:r w:rsidR="00FF1B37" w:rsidRPr="005E290F">
        <w:rPr>
          <w:i/>
          <w:iCs/>
          <w:szCs w:val="24"/>
        </w:rPr>
        <w:t>, bla</w:t>
      </w:r>
      <w:r w:rsidR="00FF1B37" w:rsidRPr="005E290F">
        <w:rPr>
          <w:i/>
          <w:iCs/>
          <w:szCs w:val="24"/>
          <w:vertAlign w:val="subscript"/>
        </w:rPr>
        <w:t>CTX-M</w:t>
      </w:r>
      <w:r w:rsidR="00FF1B37" w:rsidRPr="005E290F">
        <w:rPr>
          <w:i/>
          <w:iCs/>
          <w:szCs w:val="24"/>
        </w:rPr>
        <w:t>, bla</w:t>
      </w:r>
      <w:r w:rsidR="00FF1B37" w:rsidRPr="005E290F">
        <w:rPr>
          <w:i/>
          <w:iCs/>
          <w:szCs w:val="24"/>
          <w:vertAlign w:val="subscript"/>
        </w:rPr>
        <w:t xml:space="preserve">SHV </w:t>
      </w:r>
      <w:r w:rsidR="00FF1B37" w:rsidRPr="005E290F">
        <w:rPr>
          <w:szCs w:val="24"/>
        </w:rPr>
        <w:t>(</w:t>
      </w:r>
      <w:r w:rsidR="00FF1B37" w:rsidRPr="005E290F">
        <w:rPr>
          <w:rFonts w:ascii="Symbol" w:hAnsi="Symbol"/>
          <w:i/>
          <w:iCs/>
          <w:szCs w:val="24"/>
        </w:rPr>
        <w:t></w:t>
      </w:r>
      <w:r w:rsidR="00FF1B37" w:rsidRPr="005E290F">
        <w:rPr>
          <w:i/>
          <w:iCs/>
          <w:szCs w:val="24"/>
        </w:rPr>
        <w:t>-</w:t>
      </w:r>
      <w:r w:rsidR="00FF1B37" w:rsidRPr="005E290F">
        <w:rPr>
          <w:szCs w:val="24"/>
        </w:rPr>
        <w:t xml:space="preserve">lactamases), </w:t>
      </w:r>
      <w:r w:rsidR="00FF1B37" w:rsidRPr="005E290F">
        <w:rPr>
          <w:i/>
          <w:iCs/>
          <w:szCs w:val="24"/>
        </w:rPr>
        <w:t>mecA</w:t>
      </w:r>
      <w:r w:rsidR="00FF1B37" w:rsidRPr="005E290F">
        <w:rPr>
          <w:szCs w:val="24"/>
        </w:rPr>
        <w:t xml:space="preserve"> (penicillin binding protein 2a), </w:t>
      </w:r>
      <w:r w:rsidR="00FF1B37" w:rsidRPr="005E290F">
        <w:rPr>
          <w:i/>
          <w:iCs/>
          <w:szCs w:val="24"/>
        </w:rPr>
        <w:t>tetW</w:t>
      </w:r>
      <w:r w:rsidR="00FF1B37" w:rsidRPr="005E290F">
        <w:rPr>
          <w:szCs w:val="24"/>
        </w:rPr>
        <w:t xml:space="preserve"> (trpp) and </w:t>
      </w:r>
      <w:r w:rsidR="000A504C" w:rsidRPr="005E290F">
        <w:rPr>
          <w:i/>
          <w:iCs/>
          <w:szCs w:val="24"/>
        </w:rPr>
        <w:t>aac(6*)-le-aph(2*)</w:t>
      </w:r>
      <w:r w:rsidR="000A504C" w:rsidRPr="005E290F">
        <w:rPr>
          <w:szCs w:val="24"/>
        </w:rPr>
        <w:t xml:space="preserve"> (aminoglycoside acetyltransferase/ phosphotransferase), </w:t>
      </w:r>
      <w:r w:rsidR="00601349" w:rsidRPr="005E290F">
        <w:rPr>
          <w:szCs w:val="24"/>
        </w:rPr>
        <w:t xml:space="preserve">tested positive in more than 30% of the infants. The </w:t>
      </w:r>
      <w:r w:rsidR="000A504C" w:rsidRPr="005E290F">
        <w:rPr>
          <w:i/>
          <w:iCs/>
          <w:szCs w:val="24"/>
        </w:rPr>
        <w:t>bla</w:t>
      </w:r>
      <w:r w:rsidR="000A504C" w:rsidRPr="005E290F">
        <w:rPr>
          <w:i/>
          <w:iCs/>
          <w:szCs w:val="24"/>
          <w:vertAlign w:val="subscript"/>
        </w:rPr>
        <w:t>tem</w:t>
      </w:r>
      <w:r w:rsidR="000A504C" w:rsidRPr="005E290F">
        <w:rPr>
          <w:i/>
          <w:iCs/>
          <w:szCs w:val="24"/>
        </w:rPr>
        <w:t>,</w:t>
      </w:r>
      <w:r w:rsidR="000A504C" w:rsidRPr="005E290F">
        <w:rPr>
          <w:szCs w:val="24"/>
        </w:rPr>
        <w:t xml:space="preserve">,  </w:t>
      </w:r>
      <w:r w:rsidR="000A504C" w:rsidRPr="005E290F">
        <w:rPr>
          <w:i/>
          <w:iCs/>
          <w:szCs w:val="24"/>
        </w:rPr>
        <w:t>bla</w:t>
      </w:r>
      <w:r w:rsidR="000A504C" w:rsidRPr="005E290F">
        <w:rPr>
          <w:i/>
          <w:iCs/>
          <w:szCs w:val="24"/>
          <w:vertAlign w:val="subscript"/>
        </w:rPr>
        <w:t>CTX-M</w:t>
      </w:r>
      <w:r w:rsidR="000A504C" w:rsidRPr="005E290F">
        <w:rPr>
          <w:szCs w:val="24"/>
          <w:vertAlign w:val="subscript"/>
        </w:rPr>
        <w:t xml:space="preserve"> </w:t>
      </w:r>
      <w:r w:rsidR="000A504C" w:rsidRPr="005E290F">
        <w:rPr>
          <w:szCs w:val="24"/>
        </w:rPr>
        <w:t xml:space="preserve">and </w:t>
      </w:r>
      <w:r w:rsidR="000A504C" w:rsidRPr="005E290F">
        <w:rPr>
          <w:i/>
          <w:iCs/>
          <w:szCs w:val="24"/>
        </w:rPr>
        <w:t>aac(6*)-le-aph(2</w:t>
      </w:r>
      <w:r w:rsidR="000A504C" w:rsidRPr="005E290F">
        <w:rPr>
          <w:szCs w:val="24"/>
        </w:rPr>
        <w:t xml:space="preserve">*) were slightly elevated by </w:t>
      </w:r>
      <w:r w:rsidR="002063A1">
        <w:rPr>
          <w:szCs w:val="24"/>
        </w:rPr>
        <w:t>I</w:t>
      </w:r>
      <w:r w:rsidR="000A504C" w:rsidRPr="005E290F">
        <w:rPr>
          <w:szCs w:val="24"/>
        </w:rPr>
        <w:t>AP, the highest being</w:t>
      </w:r>
      <w:r w:rsidR="00267E63" w:rsidRPr="005E290F">
        <w:rPr>
          <w:i/>
          <w:iCs/>
          <w:szCs w:val="24"/>
        </w:rPr>
        <w:t xml:space="preserve"> bla</w:t>
      </w:r>
      <w:r w:rsidR="00267E63" w:rsidRPr="005E290F">
        <w:rPr>
          <w:i/>
          <w:iCs/>
          <w:szCs w:val="24"/>
          <w:vertAlign w:val="subscript"/>
        </w:rPr>
        <w:t>tem</w:t>
      </w:r>
      <w:r w:rsidR="000A504C" w:rsidRPr="005E290F">
        <w:rPr>
          <w:szCs w:val="24"/>
        </w:rPr>
        <w:t xml:space="preserve"> (82.3</w:t>
      </w:r>
      <w:r w:rsidR="00267E63" w:rsidRPr="005E290F">
        <w:rPr>
          <w:szCs w:val="24"/>
        </w:rPr>
        <w:t xml:space="preserve">% positive samples </w:t>
      </w:r>
      <w:r w:rsidR="00192954" w:rsidRPr="005E290F">
        <w:rPr>
          <w:szCs w:val="24"/>
        </w:rPr>
        <w:t xml:space="preserve">in the IAP group </w:t>
      </w:r>
      <w:r w:rsidR="00267E63" w:rsidRPr="005E290F">
        <w:rPr>
          <w:szCs w:val="24"/>
        </w:rPr>
        <w:t>vs 61.9%</w:t>
      </w:r>
      <w:r w:rsidR="00192954" w:rsidRPr="005E290F">
        <w:rPr>
          <w:szCs w:val="24"/>
        </w:rPr>
        <w:t xml:space="preserve"> in the controls</w:t>
      </w:r>
      <w:r w:rsidR="00267E63" w:rsidRPr="005E290F">
        <w:rPr>
          <w:szCs w:val="24"/>
        </w:rPr>
        <w:t>)</w:t>
      </w:r>
      <w:r w:rsidR="000A504C" w:rsidRPr="005E290F">
        <w:rPr>
          <w:szCs w:val="24"/>
        </w:rPr>
        <w:t>,</w:t>
      </w:r>
      <w:r w:rsidR="00B31D10">
        <w:rPr>
          <w:szCs w:val="24"/>
        </w:rPr>
        <w:t xml:space="preserve"> but</w:t>
      </w:r>
      <w:r w:rsidR="000A504C" w:rsidRPr="005E290F">
        <w:rPr>
          <w:szCs w:val="24"/>
        </w:rPr>
        <w:t xml:space="preserve"> none reached significance</w:t>
      </w:r>
      <w:r w:rsidR="00267E63" w:rsidRPr="005E290F">
        <w:rPr>
          <w:szCs w:val="24"/>
        </w:rPr>
        <w:t xml:space="preserve">. Overall, </w:t>
      </w:r>
      <w:r w:rsidR="00FE12A8" w:rsidRPr="005E290F">
        <w:rPr>
          <w:szCs w:val="24"/>
        </w:rPr>
        <w:t xml:space="preserve">the authors </w:t>
      </w:r>
      <w:r w:rsidR="00BC52B6">
        <w:rPr>
          <w:szCs w:val="24"/>
        </w:rPr>
        <w:t>concluded</w:t>
      </w:r>
      <w:r w:rsidR="00BC52B6" w:rsidRPr="005E290F">
        <w:rPr>
          <w:szCs w:val="24"/>
        </w:rPr>
        <w:t xml:space="preserve"> </w:t>
      </w:r>
      <w:r w:rsidR="00FE12A8" w:rsidRPr="005E290F">
        <w:rPr>
          <w:szCs w:val="24"/>
        </w:rPr>
        <w:t xml:space="preserve">that their results indicated that maternal IAP induced a shift in the balance of the newborn taxa for at least 3 months after birth and an increase in </w:t>
      </w:r>
      <w:r w:rsidR="00FE12A8" w:rsidRPr="005E290F">
        <w:rPr>
          <w:rFonts w:ascii="Symbol" w:hAnsi="Symbol"/>
          <w:i/>
          <w:iCs/>
          <w:szCs w:val="24"/>
        </w:rPr>
        <w:t></w:t>
      </w:r>
      <w:r w:rsidR="00FE12A8" w:rsidRPr="005E290F">
        <w:rPr>
          <w:i/>
          <w:iCs/>
          <w:szCs w:val="24"/>
        </w:rPr>
        <w:t>-</w:t>
      </w:r>
      <w:r w:rsidR="00FE12A8" w:rsidRPr="005E290F">
        <w:rPr>
          <w:szCs w:val="24"/>
        </w:rPr>
        <w:t>lactamase expression that warranted further study.</w:t>
      </w:r>
    </w:p>
    <w:p w:rsidR="005E290F" w:rsidRPr="005E290F" w:rsidRDefault="005E290F" w:rsidP="00F40887">
      <w:pPr>
        <w:pStyle w:val="ListParagraph"/>
        <w:tabs>
          <w:tab w:val="left" w:pos="0"/>
        </w:tabs>
        <w:spacing w:before="240" w:line="240" w:lineRule="auto"/>
        <w:ind w:left="0"/>
      </w:pPr>
    </w:p>
    <w:p w:rsidR="00A65042" w:rsidRPr="005E290F" w:rsidRDefault="00A65042" w:rsidP="00F40887">
      <w:pPr>
        <w:pStyle w:val="ListParagraph"/>
        <w:numPr>
          <w:ilvl w:val="2"/>
          <w:numId w:val="1"/>
        </w:numPr>
        <w:tabs>
          <w:tab w:val="left" w:pos="0"/>
        </w:tabs>
        <w:spacing w:before="240" w:line="240" w:lineRule="auto"/>
        <w:ind w:left="0" w:firstLine="0"/>
      </w:pPr>
      <w:r w:rsidRPr="005E290F">
        <w:rPr>
          <w:szCs w:val="24"/>
        </w:rPr>
        <w:t>Neuman</w:t>
      </w:r>
      <w:r w:rsidRPr="005E290F">
        <w:rPr>
          <w:i/>
          <w:iCs/>
          <w:szCs w:val="24"/>
        </w:rPr>
        <w:t xml:space="preserve"> et al</w:t>
      </w:r>
      <w:r w:rsidRPr="005E290F">
        <w:rPr>
          <w:szCs w:val="24"/>
        </w:rPr>
        <w:t xml:space="preserve"> (2018) reviewed the effects of pre-term and early life antibiotic treatment on the gut microbiota of children and possible later onset effects. </w:t>
      </w:r>
      <w:r w:rsidR="008C305A" w:rsidRPr="005E290F">
        <w:rPr>
          <w:szCs w:val="24"/>
        </w:rPr>
        <w:t>Exposure took place in different studies</w:t>
      </w:r>
      <w:r w:rsidR="00D10F2B" w:rsidRPr="005E290F">
        <w:rPr>
          <w:szCs w:val="24"/>
        </w:rPr>
        <w:t xml:space="preserve"> (2005 – 2016)</w:t>
      </w:r>
      <w:r w:rsidR="008C305A" w:rsidRPr="005E290F">
        <w:rPr>
          <w:szCs w:val="24"/>
        </w:rPr>
        <w:t xml:space="preserve"> between the pre-natal period and up to 7 years of age, with evaluation of effects in some cases in the first days, weeks or months after birth</w:t>
      </w:r>
      <w:r w:rsidR="00A53B3E" w:rsidRPr="005E290F">
        <w:rPr>
          <w:szCs w:val="24"/>
        </w:rPr>
        <w:t xml:space="preserve"> and in others over several years</w:t>
      </w:r>
      <w:r w:rsidR="00D10F2B" w:rsidRPr="005E290F">
        <w:rPr>
          <w:szCs w:val="24"/>
        </w:rPr>
        <w:t xml:space="preserve">. A variety of antibiotics was used including penicillins, aminoglycosides and macrolides. Changes were noted in gut microbial composition, abundance and diversity </w:t>
      </w:r>
      <w:r w:rsidR="00DF6970" w:rsidRPr="005E290F">
        <w:rPr>
          <w:szCs w:val="24"/>
        </w:rPr>
        <w:t xml:space="preserve">(often an increase in </w:t>
      </w:r>
      <w:r w:rsidR="00E57D98" w:rsidRPr="005E290F">
        <w:rPr>
          <w:i/>
          <w:iCs/>
          <w:szCs w:val="24"/>
        </w:rPr>
        <w:t xml:space="preserve">Proteobacteria </w:t>
      </w:r>
      <w:r w:rsidR="00E57D98" w:rsidRPr="005E290F">
        <w:rPr>
          <w:szCs w:val="24"/>
        </w:rPr>
        <w:t>and</w:t>
      </w:r>
      <w:r w:rsidR="00DF6970" w:rsidRPr="005E290F">
        <w:rPr>
          <w:szCs w:val="24"/>
        </w:rPr>
        <w:t xml:space="preserve"> </w:t>
      </w:r>
      <w:r w:rsidR="00DF6970" w:rsidRPr="005E290F">
        <w:rPr>
          <w:i/>
          <w:iCs/>
          <w:szCs w:val="24"/>
        </w:rPr>
        <w:t xml:space="preserve">F/B </w:t>
      </w:r>
      <w:r w:rsidR="00DF6970" w:rsidRPr="005E290F">
        <w:rPr>
          <w:szCs w:val="24"/>
        </w:rPr>
        <w:t xml:space="preserve"> ratio) </w:t>
      </w:r>
      <w:r w:rsidR="00D10F2B" w:rsidRPr="005E290F">
        <w:rPr>
          <w:szCs w:val="24"/>
        </w:rPr>
        <w:t>and in the cases where such data were collected, treatment correlated with increased risk of overweight/obesity, asthma</w:t>
      </w:r>
      <w:r w:rsidR="00DF6970" w:rsidRPr="005E290F">
        <w:rPr>
          <w:szCs w:val="24"/>
        </w:rPr>
        <w:t xml:space="preserve">, IBD, food allergies and increased expression of AMR genes. </w:t>
      </w:r>
    </w:p>
    <w:p w:rsidR="005E290F" w:rsidRDefault="005E290F" w:rsidP="00F40887">
      <w:pPr>
        <w:pStyle w:val="ListParagraph"/>
      </w:pPr>
    </w:p>
    <w:p w:rsidR="009044DD" w:rsidRPr="00313A29" w:rsidRDefault="009044DD" w:rsidP="00F40887">
      <w:pPr>
        <w:pStyle w:val="ListParagraph"/>
        <w:numPr>
          <w:ilvl w:val="2"/>
          <w:numId w:val="1"/>
        </w:numPr>
        <w:tabs>
          <w:tab w:val="left" w:pos="0"/>
        </w:tabs>
        <w:spacing w:before="240" w:line="240" w:lineRule="auto"/>
        <w:ind w:left="0" w:firstLine="0"/>
      </w:pPr>
      <w:r w:rsidRPr="005E290F">
        <w:rPr>
          <w:szCs w:val="24"/>
        </w:rPr>
        <w:t>Sarmiento</w:t>
      </w:r>
      <w:r w:rsidRPr="005E290F">
        <w:rPr>
          <w:i/>
          <w:iCs/>
          <w:szCs w:val="24"/>
        </w:rPr>
        <w:t xml:space="preserve"> et al</w:t>
      </w:r>
      <w:r w:rsidRPr="005E290F">
        <w:rPr>
          <w:szCs w:val="24"/>
        </w:rPr>
        <w:t xml:space="preserve"> (2019) </w:t>
      </w:r>
      <w:r w:rsidR="00BC52B6">
        <w:rPr>
          <w:szCs w:val="24"/>
        </w:rPr>
        <w:t>compared</w:t>
      </w:r>
      <w:r w:rsidR="00BC52B6" w:rsidRPr="005E290F">
        <w:rPr>
          <w:szCs w:val="24"/>
        </w:rPr>
        <w:t xml:space="preserve"> </w:t>
      </w:r>
      <w:r w:rsidRPr="005E290F">
        <w:rPr>
          <w:szCs w:val="24"/>
        </w:rPr>
        <w:t>the presence of AMR genes in the human GI tract with xenobiotic intake and weight of 72 adult volunteers. Participants</w:t>
      </w:r>
      <w:r w:rsidR="00DB2FBF" w:rsidRPr="005E290F">
        <w:rPr>
          <w:szCs w:val="24"/>
        </w:rPr>
        <w:t xml:space="preserve"> </w:t>
      </w:r>
      <w:r w:rsidRPr="005E290F">
        <w:rPr>
          <w:szCs w:val="24"/>
        </w:rPr>
        <w:t xml:space="preserve">were between 18 and 60 years of age with no record of </w:t>
      </w:r>
      <w:r w:rsidR="00BC52B6">
        <w:rPr>
          <w:szCs w:val="24"/>
        </w:rPr>
        <w:t>occupational</w:t>
      </w:r>
      <w:r w:rsidR="00BC52B6" w:rsidRPr="005E290F">
        <w:rPr>
          <w:szCs w:val="24"/>
        </w:rPr>
        <w:t xml:space="preserve"> </w:t>
      </w:r>
      <w:r w:rsidRPr="005E290F">
        <w:rPr>
          <w:szCs w:val="24"/>
        </w:rPr>
        <w:t xml:space="preserve">disease, diabetes or recent antibiotic use. Food frequency questionnaires were </w:t>
      </w:r>
      <w:r w:rsidR="00CA26A3" w:rsidRPr="005E290F">
        <w:rPr>
          <w:szCs w:val="24"/>
        </w:rPr>
        <w:t xml:space="preserve">completed over 6 months, body mass indices were </w:t>
      </w:r>
      <w:r w:rsidR="00E57D98" w:rsidRPr="005E290F">
        <w:rPr>
          <w:szCs w:val="24"/>
        </w:rPr>
        <w:t>measured,</w:t>
      </w:r>
      <w:r w:rsidR="00CA26A3" w:rsidRPr="005E290F">
        <w:rPr>
          <w:szCs w:val="24"/>
        </w:rPr>
        <w:t xml:space="preserve"> and faecal samples were taken. Twenty-</w:t>
      </w:r>
      <w:r w:rsidR="00E57D98" w:rsidRPr="005E290F">
        <w:rPr>
          <w:szCs w:val="24"/>
        </w:rPr>
        <w:t>seven markers</w:t>
      </w:r>
      <w:r w:rsidR="00CA26A3" w:rsidRPr="005E290F">
        <w:rPr>
          <w:szCs w:val="24"/>
        </w:rPr>
        <w:t xml:space="preserve"> for AMR genes were screened for by PCR, covering beta lactams, tetracyclines, aminoglycosides, quinolines, sul</w:t>
      </w:r>
      <w:r w:rsidR="00056900">
        <w:rPr>
          <w:szCs w:val="24"/>
        </w:rPr>
        <w:t>f</w:t>
      </w:r>
      <w:r w:rsidR="00CA26A3" w:rsidRPr="005E290F">
        <w:rPr>
          <w:szCs w:val="24"/>
        </w:rPr>
        <w:t xml:space="preserve">onamides, </w:t>
      </w:r>
      <w:r w:rsidR="00BC52B6">
        <w:rPr>
          <w:szCs w:val="24"/>
        </w:rPr>
        <w:t xml:space="preserve">and </w:t>
      </w:r>
      <w:r w:rsidR="00CA26A3" w:rsidRPr="005E290F">
        <w:rPr>
          <w:szCs w:val="24"/>
        </w:rPr>
        <w:t xml:space="preserve">macrolides. </w:t>
      </w:r>
      <w:r w:rsidR="00EC29E3" w:rsidRPr="005E290F">
        <w:rPr>
          <w:szCs w:val="24"/>
        </w:rPr>
        <w:t xml:space="preserve">A total of 17 AMR genes were found in </w:t>
      </w:r>
      <w:r w:rsidR="00C6336D">
        <w:rPr>
          <w:szCs w:val="24"/>
        </w:rPr>
        <w:t xml:space="preserve">the samples taken from </w:t>
      </w:r>
      <w:r w:rsidR="00EC29E3" w:rsidRPr="005E290F">
        <w:rPr>
          <w:szCs w:val="24"/>
        </w:rPr>
        <w:t xml:space="preserve">normal, overweight and obese individuals, 2 were shared between normal and obese, 3 between overweight and obese and 4 and 1 were unique to </w:t>
      </w:r>
      <w:r w:rsidR="00C6336D">
        <w:rPr>
          <w:szCs w:val="24"/>
        </w:rPr>
        <w:t xml:space="preserve">the </w:t>
      </w:r>
      <w:r w:rsidR="00EC29E3" w:rsidRPr="005E290F">
        <w:rPr>
          <w:szCs w:val="24"/>
        </w:rPr>
        <w:t xml:space="preserve">obese and overweight groups respectively. Overall expression of resistance increased </w:t>
      </w:r>
      <w:r w:rsidR="001536D5" w:rsidRPr="005E290F">
        <w:rPr>
          <w:szCs w:val="24"/>
        </w:rPr>
        <w:t xml:space="preserve">with bodyweight, as did the density of faecal bacteria in Gram positive cocci, and aerobic and anaerobic </w:t>
      </w:r>
      <w:proofErr w:type="gramStart"/>
      <w:r w:rsidR="001536D5" w:rsidRPr="005E290F">
        <w:rPr>
          <w:szCs w:val="24"/>
        </w:rPr>
        <w:t>Gram negative</w:t>
      </w:r>
      <w:proofErr w:type="gramEnd"/>
      <w:r w:rsidR="001536D5" w:rsidRPr="005E290F">
        <w:rPr>
          <w:szCs w:val="24"/>
        </w:rPr>
        <w:t xml:space="preserve"> rods.</w:t>
      </w:r>
      <w:r w:rsidR="004C665E" w:rsidRPr="005E290F">
        <w:rPr>
          <w:szCs w:val="24"/>
        </w:rPr>
        <w:t xml:space="preserve"> At the genus level, the greatest increases were in the </w:t>
      </w:r>
      <w:r w:rsidR="004C665E" w:rsidRPr="005E290F">
        <w:rPr>
          <w:i/>
          <w:iCs/>
          <w:szCs w:val="24"/>
        </w:rPr>
        <w:t>Escherichia</w:t>
      </w:r>
      <w:r w:rsidR="004C665E" w:rsidRPr="005E290F">
        <w:rPr>
          <w:szCs w:val="24"/>
        </w:rPr>
        <w:t xml:space="preserve"> and </w:t>
      </w:r>
      <w:r w:rsidR="00E57D98" w:rsidRPr="005E290F">
        <w:rPr>
          <w:szCs w:val="24"/>
        </w:rPr>
        <w:t xml:space="preserve">the </w:t>
      </w:r>
      <w:r w:rsidR="00E57D98" w:rsidRPr="005E290F">
        <w:rPr>
          <w:i/>
          <w:iCs/>
          <w:szCs w:val="24"/>
        </w:rPr>
        <w:t>Enterococci</w:t>
      </w:r>
      <w:r w:rsidR="004C665E" w:rsidRPr="005E290F">
        <w:rPr>
          <w:szCs w:val="24"/>
        </w:rPr>
        <w:t>.</w:t>
      </w:r>
    </w:p>
    <w:p w:rsidR="00313A29" w:rsidRDefault="00313A29" w:rsidP="00272F8A">
      <w:pPr>
        <w:pStyle w:val="ListParagraph"/>
      </w:pPr>
    </w:p>
    <w:p w:rsidR="005E290F" w:rsidRDefault="005E290F" w:rsidP="00F40887">
      <w:pPr>
        <w:pStyle w:val="ListParagraph"/>
      </w:pPr>
    </w:p>
    <w:p w:rsidR="00111B68" w:rsidRPr="005E290F" w:rsidRDefault="00111B68" w:rsidP="00F40887">
      <w:pPr>
        <w:pStyle w:val="ListParagraph"/>
        <w:tabs>
          <w:tab w:val="left" w:pos="0"/>
        </w:tabs>
        <w:spacing w:before="240" w:line="240" w:lineRule="auto"/>
        <w:ind w:left="0"/>
      </w:pPr>
      <w:r w:rsidRPr="005E290F">
        <w:rPr>
          <w:szCs w:val="24"/>
          <w:u w:val="single"/>
        </w:rPr>
        <w:t>Miscellaneous</w:t>
      </w:r>
    </w:p>
    <w:p w:rsidR="005E290F" w:rsidRDefault="005E290F" w:rsidP="00F40887">
      <w:pPr>
        <w:pStyle w:val="ListParagraph"/>
      </w:pPr>
    </w:p>
    <w:p w:rsidR="003A4ECF" w:rsidRPr="005E290F" w:rsidRDefault="00F94FA9" w:rsidP="00F40887">
      <w:pPr>
        <w:pStyle w:val="ListParagraph"/>
        <w:numPr>
          <w:ilvl w:val="2"/>
          <w:numId w:val="1"/>
        </w:numPr>
        <w:tabs>
          <w:tab w:val="left" w:pos="0"/>
        </w:tabs>
        <w:spacing w:before="240" w:line="240" w:lineRule="auto"/>
        <w:ind w:left="0" w:firstLine="0"/>
      </w:pPr>
      <w:r w:rsidRPr="005E290F">
        <w:rPr>
          <w:szCs w:val="24"/>
        </w:rPr>
        <w:t xml:space="preserve">Zhang </w:t>
      </w:r>
      <w:r w:rsidRPr="005E290F">
        <w:rPr>
          <w:i/>
          <w:szCs w:val="24"/>
        </w:rPr>
        <w:t>et</w:t>
      </w:r>
      <w:r w:rsidR="00813CD0" w:rsidRPr="005E290F">
        <w:rPr>
          <w:i/>
          <w:szCs w:val="24"/>
        </w:rPr>
        <w:t xml:space="preserve"> al</w:t>
      </w:r>
      <w:r w:rsidR="00813CD0" w:rsidRPr="005E290F">
        <w:rPr>
          <w:szCs w:val="24"/>
        </w:rPr>
        <w:t xml:space="preserve"> (201</w:t>
      </w:r>
      <w:r w:rsidR="00B87CAD" w:rsidRPr="005E290F">
        <w:rPr>
          <w:szCs w:val="24"/>
        </w:rPr>
        <w:t>8</w:t>
      </w:r>
      <w:r w:rsidR="00813CD0" w:rsidRPr="005E290F">
        <w:rPr>
          <w:szCs w:val="24"/>
        </w:rPr>
        <w:t>)</w:t>
      </w:r>
      <w:r w:rsidR="00CC2FAA" w:rsidRPr="005E290F">
        <w:rPr>
          <w:szCs w:val="24"/>
        </w:rPr>
        <w:t xml:space="preserve"> exposed 4 species of common gut bacteria (</w:t>
      </w:r>
      <w:r w:rsidR="00CC2FAA" w:rsidRPr="005E290F">
        <w:rPr>
          <w:i/>
          <w:szCs w:val="24"/>
        </w:rPr>
        <w:t>E. coli, Bacteroides fragilis, Clostridium sporogenes</w:t>
      </w:r>
      <w:r w:rsidR="00CC2FAA" w:rsidRPr="005E290F">
        <w:rPr>
          <w:szCs w:val="24"/>
        </w:rPr>
        <w:t xml:space="preserve"> and </w:t>
      </w:r>
      <w:r w:rsidR="00CC2FAA" w:rsidRPr="005E290F">
        <w:rPr>
          <w:i/>
          <w:szCs w:val="24"/>
        </w:rPr>
        <w:t>Streptococcus gallolyticus</w:t>
      </w:r>
      <w:r w:rsidR="00CC2FAA" w:rsidRPr="005E290F">
        <w:rPr>
          <w:szCs w:val="24"/>
        </w:rPr>
        <w:t xml:space="preserve">) to a cocktail of 29 xenobiotics (plasticisers, colorants, flame retardants and personal care products) at a final concentration of 1mM/compound. Compounds included bisphenol A, </w:t>
      </w:r>
      <w:r w:rsidR="002C2C14" w:rsidRPr="005E290F">
        <w:rPr>
          <w:szCs w:val="24"/>
        </w:rPr>
        <w:t xml:space="preserve">rhodamine B, triphenylphosphate and triclosan. </w:t>
      </w:r>
      <w:r w:rsidR="00145BB2" w:rsidRPr="005E290F">
        <w:rPr>
          <w:szCs w:val="24"/>
        </w:rPr>
        <w:t xml:space="preserve"> The cocktail was added to growth media to give an exposure concentration of 10 or 100 nM for each compound, to mimic the range of human exposures. Minimal effects were seen on bacterial growth and morphology over 48 hours</w:t>
      </w:r>
      <w:r w:rsidR="008516DB" w:rsidRPr="005E290F">
        <w:rPr>
          <w:szCs w:val="24"/>
        </w:rPr>
        <w:t xml:space="preserve">. </w:t>
      </w:r>
      <w:r w:rsidR="00901E3D" w:rsidRPr="005E290F">
        <w:rPr>
          <w:szCs w:val="24"/>
        </w:rPr>
        <w:t>Multiple changes in metabolite profiles were observed at the 100 nM level, affecting sul</w:t>
      </w:r>
      <w:r w:rsidR="00056900">
        <w:rPr>
          <w:szCs w:val="24"/>
        </w:rPr>
        <w:t>f</w:t>
      </w:r>
      <w:r w:rsidR="00901E3D" w:rsidRPr="005E290F">
        <w:rPr>
          <w:szCs w:val="24"/>
        </w:rPr>
        <w:t xml:space="preserve">ur-containing amino acids, putative neurotransmitters, intermediates of energy metabolism and oxidative stress products. </w:t>
      </w:r>
      <w:r w:rsidR="00937C0D">
        <w:rPr>
          <w:szCs w:val="24"/>
        </w:rPr>
        <w:t xml:space="preserve"> </w:t>
      </w:r>
      <w:r w:rsidR="00B87CAD" w:rsidRPr="005E290F">
        <w:rPr>
          <w:szCs w:val="24"/>
        </w:rPr>
        <w:t xml:space="preserve"> Responses differed between </w:t>
      </w:r>
      <w:r w:rsidR="00E5321B" w:rsidRPr="005E290F">
        <w:rPr>
          <w:szCs w:val="24"/>
        </w:rPr>
        <w:t xml:space="preserve">bacterial </w:t>
      </w:r>
      <w:r w:rsidR="00B87CAD" w:rsidRPr="005E290F">
        <w:rPr>
          <w:szCs w:val="24"/>
        </w:rPr>
        <w:t xml:space="preserve">species and between species sharing the same growth habit, </w:t>
      </w:r>
      <w:r w:rsidR="0089497C" w:rsidRPr="005E290F">
        <w:rPr>
          <w:szCs w:val="24"/>
        </w:rPr>
        <w:t>eg</w:t>
      </w:r>
      <w:r w:rsidR="00B87CAD" w:rsidRPr="005E290F">
        <w:rPr>
          <w:szCs w:val="24"/>
        </w:rPr>
        <w:t xml:space="preserve"> anaerobiosis.</w:t>
      </w:r>
      <w:r w:rsidR="0089497C" w:rsidRPr="005E290F">
        <w:rPr>
          <w:szCs w:val="24"/>
        </w:rPr>
        <w:t xml:space="preserve"> </w:t>
      </w:r>
      <w:r w:rsidR="00B87CAD" w:rsidRPr="005E290F">
        <w:rPr>
          <w:szCs w:val="24"/>
        </w:rPr>
        <w:t>In addition, the authors pointed out that the involvement of secondary metabolites had not been addressed and would require a more comprehensive study.</w:t>
      </w:r>
    </w:p>
    <w:p w:rsidR="005E290F" w:rsidRDefault="00053B24" w:rsidP="00272F8A">
      <w:pPr>
        <w:pStyle w:val="ListParagraph"/>
        <w:tabs>
          <w:tab w:val="left" w:pos="0"/>
        </w:tabs>
        <w:spacing w:before="240" w:line="240" w:lineRule="auto"/>
        <w:ind w:left="0"/>
      </w:pPr>
      <w:r w:rsidRPr="003A4ECF">
        <w:rPr>
          <w:szCs w:val="24"/>
        </w:rPr>
        <w:t xml:space="preserve">Montassier </w:t>
      </w:r>
      <w:r w:rsidRPr="003A4ECF">
        <w:rPr>
          <w:i/>
          <w:szCs w:val="24"/>
        </w:rPr>
        <w:t xml:space="preserve">et al </w:t>
      </w:r>
      <w:r w:rsidRPr="003A4ECF">
        <w:rPr>
          <w:szCs w:val="24"/>
        </w:rPr>
        <w:t xml:space="preserve">(2017) investigated the effect of chemotherapy with a cocktail of agents (bis-chloroethylnitrourea, etopside, aracytine and melphalan) on the gut microbiota of 28 patients with non-Hodgkin’s lymphoma. There was a </w:t>
      </w:r>
      <w:r w:rsidR="007A48D7" w:rsidRPr="003A4ECF">
        <w:rPr>
          <w:szCs w:val="24"/>
        </w:rPr>
        <w:t xml:space="preserve">reduction in the abundance of the </w:t>
      </w:r>
      <w:r w:rsidR="007A48D7" w:rsidRPr="003A4ECF">
        <w:rPr>
          <w:i/>
          <w:szCs w:val="24"/>
        </w:rPr>
        <w:t>Firmicutes</w:t>
      </w:r>
      <w:r w:rsidR="007A48D7" w:rsidRPr="003A4ECF">
        <w:rPr>
          <w:szCs w:val="24"/>
        </w:rPr>
        <w:t xml:space="preserve"> (p=0.0002) and the </w:t>
      </w:r>
      <w:r w:rsidR="007A48D7" w:rsidRPr="003A4ECF">
        <w:rPr>
          <w:i/>
          <w:szCs w:val="24"/>
        </w:rPr>
        <w:t>Actinobacteria</w:t>
      </w:r>
      <w:r w:rsidR="007A48D7" w:rsidRPr="003A4ECF">
        <w:rPr>
          <w:szCs w:val="24"/>
        </w:rPr>
        <w:t xml:space="preserve"> (p=0.002) and increases in the </w:t>
      </w:r>
      <w:r w:rsidR="007A48D7" w:rsidRPr="003A4ECF">
        <w:rPr>
          <w:i/>
          <w:szCs w:val="24"/>
        </w:rPr>
        <w:t>Proteobacteria</w:t>
      </w:r>
      <w:r w:rsidR="007A48D7" w:rsidRPr="003A4ECF">
        <w:rPr>
          <w:szCs w:val="24"/>
        </w:rPr>
        <w:t xml:space="preserve"> (p=0.0002) after 7 days’ treatment. Functional shifts were noted, with reductions in amino acid, nucleotide and energy metabolism but increased inflammation-related signal transduction and glycan metabolism</w:t>
      </w:r>
      <w:r w:rsidR="00985072" w:rsidRPr="003A4ECF">
        <w:rPr>
          <w:szCs w:val="24"/>
        </w:rPr>
        <w:t xml:space="preserve">. A decrease in butyrate-producing bacteria suggested that the </w:t>
      </w:r>
      <w:r w:rsidR="00113C99" w:rsidRPr="003A4ECF">
        <w:rPr>
          <w:szCs w:val="24"/>
        </w:rPr>
        <w:t xml:space="preserve">thickness of the </w:t>
      </w:r>
      <w:r w:rsidR="00985072" w:rsidRPr="003A4ECF">
        <w:rPr>
          <w:szCs w:val="24"/>
        </w:rPr>
        <w:t>epithelial mucus layer may have been reduced</w:t>
      </w:r>
      <w:r w:rsidR="00113C99" w:rsidRPr="00C05B34">
        <w:rPr>
          <w:szCs w:val="24"/>
        </w:rPr>
        <w:t xml:space="preserve"> and the authors speculated on the influence of the microbiota </w:t>
      </w:r>
      <w:r w:rsidR="00D06AEE" w:rsidRPr="00C05B34">
        <w:rPr>
          <w:szCs w:val="24"/>
        </w:rPr>
        <w:t xml:space="preserve">in </w:t>
      </w:r>
      <w:r w:rsidR="00D06AEE" w:rsidRPr="004D51FD">
        <w:rPr>
          <w:szCs w:val="24"/>
        </w:rPr>
        <w:t>the gastrointestinal toxicity seen during chemotherapy.</w:t>
      </w:r>
    </w:p>
    <w:p w:rsidR="003A4ECF" w:rsidRPr="003A4ECF" w:rsidRDefault="003A4ECF" w:rsidP="00272F8A">
      <w:pPr>
        <w:pStyle w:val="ListParagraph"/>
        <w:tabs>
          <w:tab w:val="left" w:pos="0"/>
        </w:tabs>
        <w:spacing w:before="240" w:line="240" w:lineRule="auto"/>
        <w:ind w:left="0"/>
      </w:pPr>
    </w:p>
    <w:p w:rsidR="00B97BA4" w:rsidRPr="005E290F" w:rsidRDefault="00D83C3C" w:rsidP="00F40887">
      <w:pPr>
        <w:pStyle w:val="ListParagraph"/>
        <w:numPr>
          <w:ilvl w:val="2"/>
          <w:numId w:val="1"/>
        </w:numPr>
        <w:tabs>
          <w:tab w:val="left" w:pos="0"/>
        </w:tabs>
        <w:spacing w:before="240" w:line="240" w:lineRule="auto"/>
        <w:ind w:left="0" w:firstLine="0"/>
      </w:pPr>
      <w:r w:rsidRPr="005E290F">
        <w:rPr>
          <w:szCs w:val="24"/>
        </w:rPr>
        <w:t xml:space="preserve">Hill-Burns </w:t>
      </w:r>
      <w:r w:rsidRPr="005E290F">
        <w:rPr>
          <w:i/>
          <w:szCs w:val="24"/>
        </w:rPr>
        <w:t>et al</w:t>
      </w:r>
      <w:r w:rsidRPr="005E290F">
        <w:rPr>
          <w:szCs w:val="24"/>
        </w:rPr>
        <w:t xml:space="preserve"> (2017) observed changes in the gut microbiota of Parkinson’s Disease (PD) patients that appeared to be brought about by the disease itself and the type of drug used in its treatment. Stool samples from 197 PD and 130 control patients were analysed</w:t>
      </w:r>
      <w:r w:rsidR="00396317" w:rsidRPr="005E290F">
        <w:rPr>
          <w:szCs w:val="24"/>
        </w:rPr>
        <w:t>.</w:t>
      </w:r>
      <w:r w:rsidRPr="005E290F">
        <w:rPr>
          <w:szCs w:val="24"/>
        </w:rPr>
        <w:t xml:space="preserve"> </w:t>
      </w:r>
      <w:r w:rsidR="00E903E6" w:rsidRPr="005E290F">
        <w:rPr>
          <w:szCs w:val="24"/>
        </w:rPr>
        <w:t>PD pat</w:t>
      </w:r>
      <w:r w:rsidR="00396317" w:rsidRPr="005E290F">
        <w:rPr>
          <w:szCs w:val="24"/>
        </w:rPr>
        <w:t xml:space="preserve">ients were also analysed for medication-induced changes. Disease duration was correlated with an increased abundance of </w:t>
      </w:r>
      <w:r w:rsidR="00396317" w:rsidRPr="005E290F">
        <w:rPr>
          <w:i/>
          <w:szCs w:val="24"/>
        </w:rPr>
        <w:t xml:space="preserve">Ruminococcaceae </w:t>
      </w:r>
      <w:r w:rsidR="00396317" w:rsidRPr="005E290F">
        <w:rPr>
          <w:szCs w:val="24"/>
        </w:rPr>
        <w:t xml:space="preserve">(p = 0.0005). Earlier reports had found that PD was associated with increased abundance of </w:t>
      </w:r>
      <w:r w:rsidR="00396317" w:rsidRPr="005E290F">
        <w:rPr>
          <w:i/>
          <w:szCs w:val="24"/>
        </w:rPr>
        <w:t>Akkermansia</w:t>
      </w:r>
      <w:r w:rsidR="00F4668C" w:rsidRPr="005E290F">
        <w:rPr>
          <w:i/>
          <w:szCs w:val="24"/>
        </w:rPr>
        <w:t xml:space="preserve">, Lactobacillus </w:t>
      </w:r>
      <w:r w:rsidR="00F4668C" w:rsidRPr="005E290F">
        <w:rPr>
          <w:szCs w:val="24"/>
        </w:rPr>
        <w:t>and</w:t>
      </w:r>
      <w:r w:rsidR="00F4668C" w:rsidRPr="005E290F">
        <w:rPr>
          <w:i/>
          <w:szCs w:val="24"/>
        </w:rPr>
        <w:t xml:space="preserve"> Bifidobacterium</w:t>
      </w:r>
      <w:r w:rsidR="00F4668C" w:rsidRPr="005E290F">
        <w:rPr>
          <w:szCs w:val="24"/>
        </w:rPr>
        <w:t xml:space="preserve">, with reduced levels of </w:t>
      </w:r>
      <w:r w:rsidR="00F4668C" w:rsidRPr="005E290F">
        <w:rPr>
          <w:i/>
          <w:szCs w:val="24"/>
        </w:rPr>
        <w:t>Lachnospiraceae</w:t>
      </w:r>
      <w:r w:rsidR="00F4668C" w:rsidRPr="005E290F">
        <w:rPr>
          <w:szCs w:val="24"/>
        </w:rPr>
        <w:t xml:space="preserve">. This study found that catechol-O-methyltransferase (COMT) </w:t>
      </w:r>
      <w:r w:rsidR="009373E9">
        <w:rPr>
          <w:szCs w:val="24"/>
        </w:rPr>
        <w:t xml:space="preserve">inhibitors </w:t>
      </w:r>
      <w:r w:rsidR="00F4668C" w:rsidRPr="005E290F">
        <w:rPr>
          <w:szCs w:val="24"/>
        </w:rPr>
        <w:t xml:space="preserve">and anticholinergic drugs reduced </w:t>
      </w:r>
      <w:r w:rsidR="00F4668C" w:rsidRPr="005E290F">
        <w:rPr>
          <w:i/>
          <w:szCs w:val="24"/>
        </w:rPr>
        <w:t>Bifidobacterium</w:t>
      </w:r>
      <w:r w:rsidR="00F4668C" w:rsidRPr="005E290F">
        <w:rPr>
          <w:szCs w:val="24"/>
        </w:rPr>
        <w:t xml:space="preserve"> levels and increased the </w:t>
      </w:r>
      <w:r w:rsidR="00F4668C" w:rsidRPr="005E290F">
        <w:rPr>
          <w:i/>
          <w:szCs w:val="24"/>
        </w:rPr>
        <w:t>Lachnospiraceae</w:t>
      </w:r>
      <w:r w:rsidR="00F4668C" w:rsidRPr="005E290F">
        <w:rPr>
          <w:szCs w:val="24"/>
        </w:rPr>
        <w:t xml:space="preserve">. PD-induced depletion in the latter family is </w:t>
      </w:r>
      <w:r w:rsidR="009373E9">
        <w:rPr>
          <w:szCs w:val="24"/>
        </w:rPr>
        <w:t>consistent</w:t>
      </w:r>
      <w:r w:rsidR="009373E9" w:rsidRPr="005E290F">
        <w:rPr>
          <w:szCs w:val="24"/>
        </w:rPr>
        <w:t xml:space="preserve"> </w:t>
      </w:r>
      <w:r w:rsidR="00F4668C" w:rsidRPr="005E290F">
        <w:rPr>
          <w:szCs w:val="24"/>
        </w:rPr>
        <w:t xml:space="preserve">with a decrease in SCFA production, </w:t>
      </w:r>
      <w:r w:rsidR="009373E9">
        <w:rPr>
          <w:szCs w:val="24"/>
        </w:rPr>
        <w:t>and</w:t>
      </w:r>
      <w:r w:rsidR="009373E9" w:rsidRPr="005E290F">
        <w:rPr>
          <w:szCs w:val="24"/>
        </w:rPr>
        <w:t xml:space="preserve"> </w:t>
      </w:r>
      <w:r w:rsidR="009373E9">
        <w:rPr>
          <w:szCs w:val="24"/>
        </w:rPr>
        <w:t xml:space="preserve">consequent </w:t>
      </w:r>
      <w:r w:rsidR="00F4668C" w:rsidRPr="005E290F">
        <w:rPr>
          <w:szCs w:val="24"/>
        </w:rPr>
        <w:t xml:space="preserve">adverse effects on host physiology. The authors speculated that the initial lesion in PD </w:t>
      </w:r>
      <w:r w:rsidR="0049551F" w:rsidRPr="005E290F">
        <w:rPr>
          <w:szCs w:val="24"/>
        </w:rPr>
        <w:t xml:space="preserve">may be in the gut, which then has downstream effects in the </w:t>
      </w:r>
      <w:r w:rsidR="005E290F">
        <w:rPr>
          <w:szCs w:val="24"/>
        </w:rPr>
        <w:t>central nervous system</w:t>
      </w:r>
      <w:r w:rsidR="0049551F" w:rsidRPr="005E290F">
        <w:rPr>
          <w:szCs w:val="24"/>
        </w:rPr>
        <w:t>.</w:t>
      </w:r>
    </w:p>
    <w:p w:rsidR="005E290F" w:rsidRDefault="005E290F" w:rsidP="00F40887">
      <w:pPr>
        <w:pStyle w:val="ListParagraph"/>
      </w:pPr>
    </w:p>
    <w:p w:rsidR="00E35F6B" w:rsidRPr="00272F8A" w:rsidRDefault="00C651B8" w:rsidP="00F40887">
      <w:pPr>
        <w:pStyle w:val="ListParagraph"/>
        <w:numPr>
          <w:ilvl w:val="2"/>
          <w:numId w:val="1"/>
        </w:numPr>
        <w:tabs>
          <w:tab w:val="left" w:pos="0"/>
        </w:tabs>
        <w:spacing w:before="240" w:line="240" w:lineRule="auto"/>
        <w:ind w:left="0" w:firstLine="0"/>
      </w:pPr>
      <w:r w:rsidRPr="005E290F">
        <w:rPr>
          <w:szCs w:val="24"/>
        </w:rPr>
        <w:t xml:space="preserve">Minalyan </w:t>
      </w:r>
      <w:r w:rsidRPr="005E290F">
        <w:rPr>
          <w:i/>
          <w:szCs w:val="24"/>
        </w:rPr>
        <w:t>et al</w:t>
      </w:r>
      <w:r w:rsidRPr="005E290F">
        <w:rPr>
          <w:szCs w:val="24"/>
        </w:rPr>
        <w:t xml:space="preserve"> (2017) reviewed the effects of </w:t>
      </w:r>
      <w:r w:rsidR="00C05167">
        <w:rPr>
          <w:szCs w:val="24"/>
        </w:rPr>
        <w:t>proton</w:t>
      </w:r>
      <w:r w:rsidR="00C05167" w:rsidRPr="005E290F">
        <w:rPr>
          <w:szCs w:val="24"/>
        </w:rPr>
        <w:t xml:space="preserve"> </w:t>
      </w:r>
      <w:r w:rsidRPr="005E290F">
        <w:rPr>
          <w:szCs w:val="24"/>
        </w:rPr>
        <w:t xml:space="preserve">pump inhibitors </w:t>
      </w:r>
      <w:r w:rsidR="00FA4771">
        <w:rPr>
          <w:szCs w:val="24"/>
        </w:rPr>
        <w:t xml:space="preserve">(PPI) </w:t>
      </w:r>
      <w:r w:rsidRPr="005E290F">
        <w:rPr>
          <w:szCs w:val="24"/>
        </w:rPr>
        <w:t>on the gastric and intestinal human microbiome</w:t>
      </w:r>
      <w:r w:rsidR="00D830F8" w:rsidRPr="005E290F">
        <w:rPr>
          <w:szCs w:val="24"/>
        </w:rPr>
        <w:t xml:space="preserve"> and highlighted the work of </w:t>
      </w:r>
      <w:r w:rsidR="007616DF" w:rsidRPr="005E290F">
        <w:rPr>
          <w:szCs w:val="24"/>
        </w:rPr>
        <w:t>Jackson</w:t>
      </w:r>
      <w:r w:rsidR="007616DF" w:rsidRPr="005E290F">
        <w:rPr>
          <w:i/>
          <w:szCs w:val="24"/>
        </w:rPr>
        <w:t xml:space="preserve"> et al</w:t>
      </w:r>
      <w:r w:rsidR="007616DF" w:rsidRPr="005E290F">
        <w:rPr>
          <w:szCs w:val="24"/>
        </w:rPr>
        <w:t xml:space="preserve"> (2016), who followed changes in the gut microbiome </w:t>
      </w:r>
      <w:r w:rsidR="0044213F">
        <w:rPr>
          <w:szCs w:val="24"/>
        </w:rPr>
        <w:t>of</w:t>
      </w:r>
      <w:r w:rsidR="007616DF" w:rsidRPr="005E290F">
        <w:rPr>
          <w:szCs w:val="24"/>
        </w:rPr>
        <w:t xml:space="preserve"> 1827</w:t>
      </w:r>
      <w:r w:rsidR="00737047">
        <w:rPr>
          <w:szCs w:val="24"/>
        </w:rPr>
        <w:t xml:space="preserve"> pairs of</w:t>
      </w:r>
      <w:r w:rsidR="007616DF" w:rsidRPr="005E290F">
        <w:rPr>
          <w:szCs w:val="24"/>
        </w:rPr>
        <w:t xml:space="preserve"> healthy twins in the presence and absence of PPI use in relation to other confounding factors such as BMI, frailty and diet. Abundance of the gut microbiota decreased in the presence of PPI </w:t>
      </w:r>
      <w:r w:rsidR="00E067D6" w:rsidRPr="005E290F">
        <w:rPr>
          <w:szCs w:val="24"/>
        </w:rPr>
        <w:t>use,</w:t>
      </w:r>
      <w:r w:rsidR="007616DF" w:rsidRPr="005E290F">
        <w:rPr>
          <w:szCs w:val="24"/>
        </w:rPr>
        <w:t xml:space="preserve"> but this was not significant when other factors were </w:t>
      </w:r>
      <w:r w:rsidR="00E067D6" w:rsidRPr="005E290F">
        <w:rPr>
          <w:szCs w:val="24"/>
        </w:rPr>
        <w:t>considered</w:t>
      </w:r>
      <w:r w:rsidR="007616DF" w:rsidRPr="005E290F">
        <w:rPr>
          <w:szCs w:val="24"/>
        </w:rPr>
        <w:t xml:space="preserve">. However, PPI use appeared to lead to a greater proportion of oral/pharyngeal taxa entering the gut, especially the </w:t>
      </w:r>
      <w:r w:rsidR="007616DF" w:rsidRPr="005E290F">
        <w:rPr>
          <w:i/>
          <w:szCs w:val="24"/>
        </w:rPr>
        <w:t>Str</w:t>
      </w:r>
      <w:r w:rsidR="00A12D9F" w:rsidRPr="005E290F">
        <w:rPr>
          <w:i/>
          <w:szCs w:val="24"/>
        </w:rPr>
        <w:t>e</w:t>
      </w:r>
      <w:r w:rsidR="007616DF" w:rsidRPr="005E290F">
        <w:rPr>
          <w:i/>
          <w:szCs w:val="24"/>
        </w:rPr>
        <w:t>ptococcac</w:t>
      </w:r>
      <w:r w:rsidR="00E41E1C" w:rsidRPr="005E290F">
        <w:rPr>
          <w:i/>
          <w:szCs w:val="24"/>
        </w:rPr>
        <w:t>e</w:t>
      </w:r>
      <w:r w:rsidR="007616DF" w:rsidRPr="005E290F">
        <w:rPr>
          <w:i/>
          <w:szCs w:val="24"/>
        </w:rPr>
        <w:t>ae</w:t>
      </w:r>
      <w:r w:rsidR="007616DF" w:rsidRPr="005E290F">
        <w:rPr>
          <w:szCs w:val="24"/>
        </w:rPr>
        <w:t xml:space="preserve"> and the</w:t>
      </w:r>
      <w:r w:rsidR="00E41E1C" w:rsidRPr="005E290F">
        <w:rPr>
          <w:szCs w:val="24"/>
        </w:rPr>
        <w:t xml:space="preserve"> </w:t>
      </w:r>
      <w:r w:rsidR="00E41E1C" w:rsidRPr="005E290F">
        <w:rPr>
          <w:i/>
          <w:szCs w:val="24"/>
        </w:rPr>
        <w:t>Micrococcaceae</w:t>
      </w:r>
      <w:r w:rsidR="00E41E1C" w:rsidRPr="005E290F">
        <w:rPr>
          <w:szCs w:val="24"/>
        </w:rPr>
        <w:t xml:space="preserve">. The changes observed </w:t>
      </w:r>
      <w:r w:rsidR="00705B52" w:rsidRPr="005E290F">
        <w:rPr>
          <w:szCs w:val="24"/>
        </w:rPr>
        <w:t xml:space="preserve">were independent of antibiotic use although this was not associated with individual antibiotics </w:t>
      </w:r>
      <w:r w:rsidR="009E1ADC" w:rsidRPr="005E290F">
        <w:rPr>
          <w:szCs w:val="24"/>
        </w:rPr>
        <w:t>and use was not</w:t>
      </w:r>
      <w:r w:rsidR="00705B52" w:rsidRPr="005E290F">
        <w:rPr>
          <w:szCs w:val="24"/>
        </w:rPr>
        <w:t xml:space="preserve"> prolonged. The authors suggested that </w:t>
      </w:r>
      <w:r w:rsidR="00E57D98" w:rsidRPr="005E290F">
        <w:rPr>
          <w:szCs w:val="24"/>
        </w:rPr>
        <w:t>the relative</w:t>
      </w:r>
      <w:r w:rsidR="00705B52" w:rsidRPr="005E290F">
        <w:rPr>
          <w:szCs w:val="24"/>
        </w:rPr>
        <w:t xml:space="preserve"> abundance of the </w:t>
      </w:r>
      <w:r w:rsidR="00705B52" w:rsidRPr="005E290F">
        <w:rPr>
          <w:i/>
          <w:szCs w:val="24"/>
        </w:rPr>
        <w:t xml:space="preserve">Streptococcaceae </w:t>
      </w:r>
      <w:r w:rsidR="00705B52" w:rsidRPr="005E290F">
        <w:rPr>
          <w:szCs w:val="24"/>
        </w:rPr>
        <w:t>was of clinical importance since small intestinal bacterial o</w:t>
      </w:r>
      <w:r w:rsidR="00BF472F" w:rsidRPr="005E290F">
        <w:rPr>
          <w:szCs w:val="24"/>
        </w:rPr>
        <w:t xml:space="preserve">vergrowth of these organisms is known to be associated with </w:t>
      </w:r>
      <w:r w:rsidR="00BF472F" w:rsidRPr="005E290F">
        <w:rPr>
          <w:i/>
          <w:szCs w:val="24"/>
        </w:rPr>
        <w:t>Clostridium difficile</w:t>
      </w:r>
      <w:r w:rsidR="00BF472F" w:rsidRPr="005E290F">
        <w:rPr>
          <w:szCs w:val="24"/>
        </w:rPr>
        <w:t xml:space="preserve"> infection.</w:t>
      </w:r>
      <w:r w:rsidR="00705B52" w:rsidRPr="005E290F">
        <w:rPr>
          <w:i/>
          <w:szCs w:val="24"/>
        </w:rPr>
        <w:t xml:space="preserve"> </w:t>
      </w:r>
    </w:p>
    <w:p w:rsidR="00E35F6B" w:rsidRPr="00E35F6B" w:rsidRDefault="00E35F6B" w:rsidP="00272F8A">
      <w:pPr>
        <w:pStyle w:val="ListParagraph"/>
        <w:rPr>
          <w:iCs/>
          <w:szCs w:val="24"/>
        </w:rPr>
      </w:pPr>
    </w:p>
    <w:p w:rsidR="005E290F" w:rsidRDefault="005E290F" w:rsidP="00F40887">
      <w:pPr>
        <w:pStyle w:val="ListParagraph"/>
      </w:pPr>
    </w:p>
    <w:p w:rsidR="00F046A8" w:rsidRPr="005E290F" w:rsidRDefault="00A452B9" w:rsidP="00F40887">
      <w:pPr>
        <w:pStyle w:val="ListParagraph"/>
        <w:numPr>
          <w:ilvl w:val="2"/>
          <w:numId w:val="1"/>
        </w:numPr>
        <w:tabs>
          <w:tab w:val="left" w:pos="0"/>
        </w:tabs>
        <w:spacing w:before="240" w:line="240" w:lineRule="auto"/>
        <w:ind w:left="0" w:firstLine="0"/>
      </w:pPr>
      <w:r w:rsidRPr="005E290F">
        <w:rPr>
          <w:szCs w:val="24"/>
        </w:rPr>
        <w:t xml:space="preserve">Maier </w:t>
      </w:r>
      <w:r w:rsidRPr="005E290F">
        <w:rPr>
          <w:i/>
          <w:szCs w:val="24"/>
        </w:rPr>
        <w:t>et al</w:t>
      </w:r>
      <w:r w:rsidRPr="005E290F">
        <w:rPr>
          <w:szCs w:val="24"/>
        </w:rPr>
        <w:t xml:space="preserve"> (2018) measured the growth of 40 faecal bacterial isolates after treatment with 1197</w:t>
      </w:r>
      <w:r w:rsidR="00225CA4" w:rsidRPr="005E290F">
        <w:rPr>
          <w:szCs w:val="24"/>
        </w:rPr>
        <w:t xml:space="preserve"> compounds</w:t>
      </w:r>
      <w:r w:rsidR="003E7AAE" w:rsidRPr="005E290F">
        <w:rPr>
          <w:szCs w:val="24"/>
        </w:rPr>
        <w:t xml:space="preserve"> covering human-targeted drugs, antibiotics, antiseptics and others with antifungal, antiviral and antiparasitic actions. Bacterial growth was measured by optical density in multiwell plates under anaerobic conditions. </w:t>
      </w:r>
      <w:r w:rsidR="002D6525" w:rsidRPr="005E290F">
        <w:rPr>
          <w:szCs w:val="24"/>
        </w:rPr>
        <w:t xml:space="preserve">All drugs were at </w:t>
      </w:r>
      <w:r w:rsidR="00526910" w:rsidRPr="005E290F">
        <w:rPr>
          <w:szCs w:val="24"/>
        </w:rPr>
        <w:t>20</w:t>
      </w:r>
      <w:r w:rsidR="00526910" w:rsidRPr="005E290F">
        <w:rPr>
          <w:rFonts w:ascii="Symbol" w:hAnsi="Symbol"/>
          <w:szCs w:val="24"/>
        </w:rPr>
        <w:t></w:t>
      </w:r>
      <w:r w:rsidR="00526910" w:rsidRPr="005E290F">
        <w:rPr>
          <w:szCs w:val="24"/>
        </w:rPr>
        <w:t xml:space="preserve">M final concentration. </w:t>
      </w:r>
      <w:r w:rsidR="003E7AAE" w:rsidRPr="005E290F">
        <w:rPr>
          <w:szCs w:val="24"/>
        </w:rPr>
        <w:t>Of 156 antibacterials, 78%</w:t>
      </w:r>
      <w:r w:rsidR="00DB2FBF" w:rsidRPr="005E290F">
        <w:rPr>
          <w:szCs w:val="24"/>
        </w:rPr>
        <w:t xml:space="preserve"> </w:t>
      </w:r>
      <w:r w:rsidR="003E7AAE" w:rsidRPr="005E290F">
        <w:rPr>
          <w:szCs w:val="24"/>
        </w:rPr>
        <w:t>were active against at least one species</w:t>
      </w:r>
      <w:r w:rsidR="002D6525" w:rsidRPr="005E290F">
        <w:rPr>
          <w:szCs w:val="24"/>
        </w:rPr>
        <w:t xml:space="preserve"> and 27% of the non-antibiotic drugs were also found to be active, including 40 that were effective against ten bacterial strains, of which 14 drugs had no previously documented antibacterial activity. Species with higher abundance across healthy individuals, including major butyrate and propionate producers, were significantly more affected by human-targeted drugs than others</w:t>
      </w:r>
      <w:r w:rsidR="00B75C37" w:rsidRPr="005E290F">
        <w:rPr>
          <w:szCs w:val="24"/>
        </w:rPr>
        <w:t>. Moreover, the authors estimated that the concentration of the drugs used would be lower than that actually encountered in the small intestine and colon under clinical dosing, leaving open the questions</w:t>
      </w:r>
      <w:r w:rsidR="00AF60A6" w:rsidRPr="005E290F">
        <w:rPr>
          <w:szCs w:val="24"/>
        </w:rPr>
        <w:t xml:space="preserve"> </w:t>
      </w:r>
      <w:r w:rsidR="00B75C37" w:rsidRPr="005E290F">
        <w:rPr>
          <w:szCs w:val="24"/>
        </w:rPr>
        <w:t xml:space="preserve">of </w:t>
      </w:r>
      <w:r w:rsidR="00AF60A6" w:rsidRPr="005E290F">
        <w:rPr>
          <w:szCs w:val="24"/>
        </w:rPr>
        <w:t>which other drugs might be active at higher concentrations and how many taxa might be affected. The authors also found that exposure to human-targeted drugs can promote non-specific resistance mechanisms such as efflux transporters, which can contribute to antibiotic resistance</w:t>
      </w:r>
      <w:r w:rsidR="00495601" w:rsidRPr="005E290F">
        <w:rPr>
          <w:szCs w:val="24"/>
        </w:rPr>
        <w:t>.</w:t>
      </w:r>
    </w:p>
    <w:p w:rsidR="005E290F" w:rsidRPr="005E290F" w:rsidRDefault="005E290F" w:rsidP="00F40887">
      <w:pPr>
        <w:pStyle w:val="ListParagraph"/>
        <w:tabs>
          <w:tab w:val="left" w:pos="0"/>
        </w:tabs>
        <w:spacing w:before="240" w:line="240" w:lineRule="auto"/>
        <w:ind w:left="0"/>
      </w:pPr>
    </w:p>
    <w:p w:rsidR="00303745" w:rsidRPr="005E290F" w:rsidRDefault="00303745" w:rsidP="00F40887">
      <w:pPr>
        <w:pStyle w:val="ListParagraph"/>
        <w:numPr>
          <w:ilvl w:val="2"/>
          <w:numId w:val="1"/>
        </w:numPr>
        <w:tabs>
          <w:tab w:val="left" w:pos="0"/>
        </w:tabs>
        <w:spacing w:before="240" w:line="240" w:lineRule="auto"/>
        <w:ind w:left="0" w:firstLine="0"/>
      </w:pPr>
      <w:r w:rsidRPr="005E290F">
        <w:rPr>
          <w:szCs w:val="24"/>
        </w:rPr>
        <w:t xml:space="preserve">Shanahan </w:t>
      </w:r>
      <w:r w:rsidRPr="005E290F">
        <w:rPr>
          <w:i/>
          <w:iCs/>
          <w:szCs w:val="24"/>
        </w:rPr>
        <w:t>et al</w:t>
      </w:r>
      <w:r w:rsidRPr="005E290F">
        <w:rPr>
          <w:szCs w:val="24"/>
        </w:rPr>
        <w:t xml:space="preserve"> (2017) sampled the duodenal mucosa-associated microbiota </w:t>
      </w:r>
      <w:r w:rsidR="006B32C0" w:rsidRPr="005E290F">
        <w:rPr>
          <w:szCs w:val="24"/>
        </w:rPr>
        <w:t>(MAM) of 102 Australian hospital patients, who were sub-grouped into current smokers</w:t>
      </w:r>
      <w:r w:rsidR="000169B2" w:rsidRPr="005E290F">
        <w:rPr>
          <w:szCs w:val="24"/>
        </w:rPr>
        <w:t xml:space="preserve"> (n = 21)</w:t>
      </w:r>
      <w:r w:rsidR="006B32C0" w:rsidRPr="005E290F">
        <w:rPr>
          <w:szCs w:val="24"/>
        </w:rPr>
        <w:t>, previous smokers</w:t>
      </w:r>
      <w:r w:rsidR="000169B2" w:rsidRPr="005E290F">
        <w:rPr>
          <w:szCs w:val="24"/>
        </w:rPr>
        <w:t xml:space="preserve"> (n = 40) </w:t>
      </w:r>
      <w:r w:rsidR="006B32C0" w:rsidRPr="005E290F">
        <w:rPr>
          <w:szCs w:val="24"/>
        </w:rPr>
        <w:t>and never smokers</w:t>
      </w:r>
      <w:r w:rsidR="000169B2" w:rsidRPr="005E290F">
        <w:rPr>
          <w:szCs w:val="24"/>
        </w:rPr>
        <w:t xml:space="preserve"> (n = 41)</w:t>
      </w:r>
      <w:r w:rsidR="006B32C0" w:rsidRPr="005E290F">
        <w:rPr>
          <w:szCs w:val="24"/>
        </w:rPr>
        <w:t>. Recent antibiotic use was an exclusion facto</w:t>
      </w:r>
      <w:r w:rsidR="000169B2" w:rsidRPr="005E290F">
        <w:rPr>
          <w:szCs w:val="24"/>
        </w:rPr>
        <w:t>r but functional dyspepsia</w:t>
      </w:r>
      <w:r w:rsidR="00DB46D4" w:rsidRPr="005E290F">
        <w:rPr>
          <w:szCs w:val="24"/>
        </w:rPr>
        <w:t xml:space="preserve"> (FD),</w:t>
      </w:r>
      <w:r w:rsidR="000169B2" w:rsidRPr="005E290F">
        <w:rPr>
          <w:szCs w:val="24"/>
        </w:rPr>
        <w:t xml:space="preserve"> iron deficiency</w:t>
      </w:r>
      <w:r w:rsidR="00DB46D4" w:rsidRPr="005E290F">
        <w:rPr>
          <w:szCs w:val="24"/>
        </w:rPr>
        <w:t xml:space="preserve"> (ID)</w:t>
      </w:r>
      <w:r w:rsidR="000169B2" w:rsidRPr="005E290F">
        <w:rPr>
          <w:szCs w:val="24"/>
        </w:rPr>
        <w:t xml:space="preserve"> and Crohn’s disease</w:t>
      </w:r>
      <w:r w:rsidR="00DB46D4" w:rsidRPr="005E290F">
        <w:rPr>
          <w:szCs w:val="24"/>
        </w:rPr>
        <w:t xml:space="preserve"> (CD)</w:t>
      </w:r>
      <w:r w:rsidR="000169B2" w:rsidRPr="005E290F">
        <w:rPr>
          <w:szCs w:val="24"/>
        </w:rPr>
        <w:t xml:space="preserve"> were not. </w:t>
      </w:r>
      <w:r w:rsidR="000D0F6C" w:rsidRPr="005E290F">
        <w:rPr>
          <w:szCs w:val="24"/>
        </w:rPr>
        <w:t>Overall, s</w:t>
      </w:r>
      <w:r w:rsidR="000169B2" w:rsidRPr="005E290F">
        <w:rPr>
          <w:szCs w:val="24"/>
        </w:rPr>
        <w:t xml:space="preserve">moking did not appear to affect the bacterial load of the </w:t>
      </w:r>
      <w:r w:rsidR="000D0F6C" w:rsidRPr="005E290F">
        <w:rPr>
          <w:szCs w:val="24"/>
        </w:rPr>
        <w:t>mucosa but both current and previous smokers had significantly reduced bacterial diversity compared with never smokers.</w:t>
      </w:r>
      <w:r w:rsidR="00DB46D4" w:rsidRPr="005E290F">
        <w:rPr>
          <w:szCs w:val="24"/>
        </w:rPr>
        <w:t xml:space="preserve"> When broken down further, CD sufferers were less affected that FD/ID sufferers. 16S rRNA gene sequencing revealed that in current smo</w:t>
      </w:r>
      <w:r w:rsidR="003F55A9" w:rsidRPr="005E290F">
        <w:rPr>
          <w:szCs w:val="24"/>
        </w:rPr>
        <w:t>k</w:t>
      </w:r>
      <w:r w:rsidR="00DB46D4" w:rsidRPr="005E290F">
        <w:rPr>
          <w:szCs w:val="24"/>
        </w:rPr>
        <w:t>ers</w:t>
      </w:r>
      <w:r w:rsidR="003F55A9" w:rsidRPr="005E290F">
        <w:rPr>
          <w:szCs w:val="24"/>
        </w:rPr>
        <w:t xml:space="preserve">, </w:t>
      </w:r>
      <w:r w:rsidR="00C637CF" w:rsidRPr="005E290F">
        <w:rPr>
          <w:szCs w:val="24"/>
        </w:rPr>
        <w:t>t</w:t>
      </w:r>
      <w:r w:rsidR="003F55A9" w:rsidRPr="005E290F">
        <w:rPr>
          <w:szCs w:val="24"/>
        </w:rPr>
        <w:t xml:space="preserve">he </w:t>
      </w:r>
      <w:r w:rsidR="003F55A9" w:rsidRPr="005E290F">
        <w:rPr>
          <w:i/>
          <w:iCs/>
          <w:szCs w:val="24"/>
        </w:rPr>
        <w:t>Firmicutes</w:t>
      </w:r>
      <w:r w:rsidR="003F55A9" w:rsidRPr="005E290F">
        <w:rPr>
          <w:szCs w:val="24"/>
        </w:rPr>
        <w:t xml:space="preserve"> were significantly increased and the </w:t>
      </w:r>
      <w:r w:rsidR="003F55A9" w:rsidRPr="005E290F">
        <w:rPr>
          <w:i/>
          <w:iCs/>
          <w:szCs w:val="24"/>
        </w:rPr>
        <w:t>Bacteroidetes</w:t>
      </w:r>
      <w:r w:rsidR="003F55A9" w:rsidRPr="005E290F">
        <w:rPr>
          <w:szCs w:val="24"/>
        </w:rPr>
        <w:t xml:space="preserve"> and </w:t>
      </w:r>
      <w:r w:rsidR="003F55A9" w:rsidRPr="005E290F">
        <w:rPr>
          <w:i/>
          <w:iCs/>
          <w:szCs w:val="24"/>
        </w:rPr>
        <w:t>Actinobacteria</w:t>
      </w:r>
      <w:r w:rsidR="003F55A9" w:rsidRPr="005E290F">
        <w:rPr>
          <w:szCs w:val="24"/>
        </w:rPr>
        <w:t xml:space="preserve"> significantly reduced relative to the never smokers (p&lt; 0.005). At the genus level, </w:t>
      </w:r>
      <w:r w:rsidR="003F55A9" w:rsidRPr="005E290F">
        <w:rPr>
          <w:i/>
          <w:iCs/>
          <w:szCs w:val="24"/>
        </w:rPr>
        <w:t xml:space="preserve">Streptococcus, Rothia </w:t>
      </w:r>
      <w:r w:rsidR="003F55A9" w:rsidRPr="005E290F">
        <w:rPr>
          <w:szCs w:val="24"/>
        </w:rPr>
        <w:t xml:space="preserve">and </w:t>
      </w:r>
      <w:r w:rsidR="003F55A9" w:rsidRPr="005E290F">
        <w:rPr>
          <w:i/>
          <w:iCs/>
          <w:szCs w:val="24"/>
        </w:rPr>
        <w:t>Veillonella</w:t>
      </w:r>
      <w:r w:rsidR="003F55A9" w:rsidRPr="005E290F">
        <w:rPr>
          <w:szCs w:val="24"/>
        </w:rPr>
        <w:t xml:space="preserve"> were increased in current smokers relative to never smokers. Reduction in</w:t>
      </w:r>
      <w:r w:rsidR="003F0F56" w:rsidRPr="005E290F">
        <w:rPr>
          <w:szCs w:val="24"/>
        </w:rPr>
        <w:t xml:space="preserve"> duodenal</w:t>
      </w:r>
      <w:r w:rsidR="003F55A9" w:rsidRPr="005E290F">
        <w:rPr>
          <w:szCs w:val="24"/>
        </w:rPr>
        <w:t xml:space="preserve"> oxygen tension and </w:t>
      </w:r>
      <w:r w:rsidR="003F0F56" w:rsidRPr="005E290F">
        <w:rPr>
          <w:szCs w:val="24"/>
        </w:rPr>
        <w:t>pH were suggested as potential drivers of the effects seen and the authors highlighted the possibility that smoking could be regarded as another confounding factor of experiments on the gut microbiota.</w:t>
      </w:r>
    </w:p>
    <w:p w:rsidR="005E290F" w:rsidRDefault="005E290F" w:rsidP="00F40887">
      <w:pPr>
        <w:pStyle w:val="ListParagraph"/>
        <w:tabs>
          <w:tab w:val="left" w:pos="0"/>
        </w:tabs>
        <w:spacing w:before="240" w:line="240" w:lineRule="auto"/>
        <w:ind w:left="0"/>
        <w:rPr>
          <w:szCs w:val="24"/>
        </w:rPr>
      </w:pPr>
    </w:p>
    <w:p w:rsidR="005E290F" w:rsidRPr="005E290F" w:rsidRDefault="005E290F" w:rsidP="00F40887">
      <w:pPr>
        <w:pStyle w:val="ListParagraph"/>
        <w:tabs>
          <w:tab w:val="left" w:pos="0"/>
        </w:tabs>
        <w:spacing w:before="240" w:line="240" w:lineRule="auto"/>
        <w:ind w:left="0"/>
      </w:pPr>
    </w:p>
    <w:p w:rsidR="00582074" w:rsidRPr="005E290F" w:rsidRDefault="00582074" w:rsidP="00F40887">
      <w:pPr>
        <w:pStyle w:val="ListParagraph"/>
        <w:tabs>
          <w:tab w:val="left" w:pos="0"/>
        </w:tabs>
        <w:spacing w:before="240" w:line="240" w:lineRule="auto"/>
        <w:ind w:left="0"/>
      </w:pPr>
      <w:r w:rsidRPr="005E290F">
        <w:rPr>
          <w:b/>
        </w:rPr>
        <w:t>The effect of food components on the gut microbiota.</w:t>
      </w:r>
    </w:p>
    <w:p w:rsidR="005E290F" w:rsidRPr="005E290F" w:rsidRDefault="005E290F" w:rsidP="00F40887">
      <w:pPr>
        <w:pStyle w:val="ListParagraph"/>
        <w:tabs>
          <w:tab w:val="left" w:pos="0"/>
        </w:tabs>
        <w:spacing w:before="240" w:line="240" w:lineRule="auto"/>
        <w:ind w:left="0"/>
      </w:pPr>
    </w:p>
    <w:p w:rsidR="009F1055" w:rsidRDefault="00B17728" w:rsidP="00F40887">
      <w:pPr>
        <w:pStyle w:val="ListParagraph"/>
        <w:numPr>
          <w:ilvl w:val="2"/>
          <w:numId w:val="1"/>
        </w:numPr>
        <w:tabs>
          <w:tab w:val="left" w:pos="0"/>
        </w:tabs>
        <w:spacing w:before="240" w:line="240" w:lineRule="auto"/>
        <w:ind w:left="0" w:firstLine="0"/>
      </w:pPr>
      <w:r w:rsidRPr="00F94FA9">
        <w:t>Roca-</w:t>
      </w:r>
      <w:r w:rsidR="009F1055" w:rsidRPr="00F94FA9">
        <w:t xml:space="preserve">Saavedra </w:t>
      </w:r>
      <w:r w:rsidR="009F1055" w:rsidRPr="005E290F">
        <w:rPr>
          <w:i/>
        </w:rPr>
        <w:t xml:space="preserve">et al </w:t>
      </w:r>
      <w:r w:rsidR="009F1055" w:rsidRPr="00F94FA9">
        <w:t xml:space="preserve">(2018) reviewed the effect of minor food components on the gut microbiota and vice versa. For example, polyphenols found in a variety of fruit, vegetables and beverages both alter community composition via their antimicrobial actions and are metabolised </w:t>
      </w:r>
      <w:r w:rsidR="00543EF9" w:rsidRPr="00F94FA9">
        <w:t>to products with increased bioavailability. Other plant-derived compounds, such as flavonols, tannins and resveratrol, promote some taxa and inhibit the growth of others and are metabolised in ways that may affect their reported effects on host health</w:t>
      </w:r>
      <w:r w:rsidR="00FE4914">
        <w:t>.</w:t>
      </w:r>
      <w:r w:rsidR="00543EF9" w:rsidRPr="00F94FA9">
        <w:t xml:space="preserve"> </w:t>
      </w:r>
    </w:p>
    <w:p w:rsidR="005E290F" w:rsidRDefault="005E290F" w:rsidP="00F40887">
      <w:pPr>
        <w:pStyle w:val="ListParagraph"/>
        <w:tabs>
          <w:tab w:val="left" w:pos="0"/>
        </w:tabs>
        <w:spacing w:before="240" w:line="240" w:lineRule="auto"/>
        <w:ind w:left="0"/>
      </w:pPr>
    </w:p>
    <w:p w:rsidR="00B17728" w:rsidRDefault="00B17728" w:rsidP="00F40887">
      <w:pPr>
        <w:pStyle w:val="ListParagraph"/>
        <w:numPr>
          <w:ilvl w:val="2"/>
          <w:numId w:val="1"/>
        </w:numPr>
        <w:tabs>
          <w:tab w:val="left" w:pos="0"/>
        </w:tabs>
        <w:spacing w:before="240" w:line="240" w:lineRule="auto"/>
        <w:ind w:left="0" w:firstLine="0"/>
      </w:pPr>
      <w:r w:rsidRPr="00F94FA9">
        <w:t xml:space="preserve">Maier </w:t>
      </w:r>
      <w:r w:rsidRPr="005E290F">
        <w:rPr>
          <w:i/>
        </w:rPr>
        <w:t>et al</w:t>
      </w:r>
      <w:r w:rsidRPr="00F94FA9">
        <w:t xml:space="preserve"> (2017) fed human adults (26 women and 13 men)</w:t>
      </w:r>
      <w:r w:rsidR="00384AE9" w:rsidRPr="00F94FA9">
        <w:t xml:space="preserve"> with reduced insulin sensitivity</w:t>
      </w:r>
      <w:r w:rsidRPr="00F94FA9">
        <w:t xml:space="preserve"> </w:t>
      </w:r>
      <w:r w:rsidR="00384AE9" w:rsidRPr="00F94FA9">
        <w:t>high or low carbohydrate diets and supplemented groups of them with high-resistance starch (</w:t>
      </w:r>
      <w:r w:rsidR="00AA6E2D" w:rsidRPr="00F94FA9">
        <w:t xml:space="preserve">HRS, </w:t>
      </w:r>
      <w:r w:rsidR="00384AE9" w:rsidRPr="00F94FA9">
        <w:t xml:space="preserve">high amylose </w:t>
      </w:r>
      <w:r w:rsidR="00E067D6" w:rsidRPr="00F94FA9">
        <w:t>corn starch</w:t>
      </w:r>
      <w:r w:rsidR="00384AE9" w:rsidRPr="00F94FA9">
        <w:t>) or low-resistance starch (</w:t>
      </w:r>
      <w:r w:rsidR="00AA6E2D" w:rsidRPr="00F94FA9">
        <w:t xml:space="preserve">LRS, high amylopectin </w:t>
      </w:r>
      <w:r w:rsidR="00E067D6" w:rsidRPr="00F94FA9">
        <w:t>corn</w:t>
      </w:r>
      <w:r w:rsidR="00E067D6">
        <w:t xml:space="preserve"> </w:t>
      </w:r>
      <w:r w:rsidR="00E067D6" w:rsidRPr="00F94FA9">
        <w:t>starch</w:t>
      </w:r>
      <w:r w:rsidR="00AA6E2D" w:rsidRPr="00F94FA9">
        <w:t>)</w:t>
      </w:r>
      <w:r w:rsidR="00384AE9" w:rsidRPr="00F94FA9">
        <w:t xml:space="preserve"> in a cross-over design study with 2 weeks on each diet with a 2-week washout period between diets. Faecal and blood samples were taken before and after each diet-consumption period. The gut microbiota were affected most by the low carbohydrate diet</w:t>
      </w:r>
      <w:r w:rsidR="00AA6E2D" w:rsidRPr="00F94FA9">
        <w:t xml:space="preserve"> with </w:t>
      </w:r>
      <w:r w:rsidR="00FE4914">
        <w:t>HRS</w:t>
      </w:r>
      <w:r w:rsidR="00AA6E2D" w:rsidRPr="00F94FA9">
        <w:t xml:space="preserve">. The </w:t>
      </w:r>
      <w:r w:rsidR="00FE4914">
        <w:t>HRS</w:t>
      </w:r>
      <w:r w:rsidR="00AA6E2D" w:rsidRPr="00F94FA9">
        <w:t xml:space="preserve"> appeared to improve meal-to-meal regulation of blood glucose but also led to higher plasma levels of trimethylamine-N-oxide, which has been linked to increased risk of cardiovascular disease. In addition, HRS was found to increase the </w:t>
      </w:r>
      <w:r w:rsidR="00AA6E2D" w:rsidRPr="005E290F">
        <w:rPr>
          <w:i/>
        </w:rPr>
        <w:t>Firmicutes/ Bacteroidetes</w:t>
      </w:r>
      <w:r w:rsidR="00AA6E2D" w:rsidRPr="00F94FA9">
        <w:t xml:space="preserve"> ratio and increased the numbers of butyrate- and propionate-producing genera.</w:t>
      </w:r>
      <w:r w:rsidR="0047139B" w:rsidRPr="00F94FA9">
        <w:t xml:space="preserve"> Genes related to lipid metabolism were variously up- or down-regulated by the HRS diet.</w:t>
      </w:r>
    </w:p>
    <w:p w:rsidR="009C5A9E" w:rsidRDefault="009C5A9E" w:rsidP="00F40887">
      <w:pPr>
        <w:pStyle w:val="ListParagraph"/>
      </w:pPr>
    </w:p>
    <w:p w:rsidR="008624F4" w:rsidRDefault="00D161D6" w:rsidP="00F40887">
      <w:pPr>
        <w:pStyle w:val="ListParagraph"/>
        <w:numPr>
          <w:ilvl w:val="2"/>
          <w:numId w:val="1"/>
        </w:numPr>
        <w:tabs>
          <w:tab w:val="left" w:pos="0"/>
        </w:tabs>
        <w:spacing w:before="240" w:line="240" w:lineRule="auto"/>
        <w:ind w:left="0" w:firstLine="0"/>
      </w:pPr>
      <w:r w:rsidRPr="00F94FA9">
        <w:t xml:space="preserve">Costantini </w:t>
      </w:r>
      <w:r w:rsidRPr="009C5A9E">
        <w:rPr>
          <w:i/>
        </w:rPr>
        <w:t>et al</w:t>
      </w:r>
      <w:r w:rsidRPr="00F94FA9">
        <w:t xml:space="preserve"> (2017) review</w:t>
      </w:r>
      <w:r w:rsidR="006B3718">
        <w:t>ed</w:t>
      </w:r>
      <w:r w:rsidRPr="00F94FA9">
        <w:t xml:space="preserve"> the effects of consuming omega-3-fatty acids on the structure and function of the gut microbiota. Results of the few (9) clinical studies reported were variable with the major phyla unaffected</w:t>
      </w:r>
      <w:r w:rsidR="000E09CF" w:rsidRPr="00F94FA9">
        <w:t xml:space="preserve">, increasing or decreasing in different studies. In some cases, potentially pathogenic genera were reduced in comparison to beneficial ones. Oils differed in being </w:t>
      </w:r>
      <w:r w:rsidR="00DB15C6">
        <w:t xml:space="preserve">derived </w:t>
      </w:r>
      <w:r w:rsidR="000E09CF" w:rsidRPr="00F94FA9">
        <w:t>from plan</w:t>
      </w:r>
      <w:r w:rsidR="009A5DF3" w:rsidRPr="00F94FA9">
        <w:t>t</w:t>
      </w:r>
      <w:r w:rsidR="000E09CF" w:rsidRPr="00F94FA9">
        <w:t>s in some cases and fish in others. In animals</w:t>
      </w:r>
      <w:r w:rsidR="006C3F14" w:rsidRPr="00F94FA9">
        <w:t>,</w:t>
      </w:r>
      <w:r w:rsidR="000E09CF" w:rsidRPr="00F94FA9">
        <w:t xml:space="preserve"> omega-3-fatty acid deprivation resulted in anxiety and depression-like behaviour</w:t>
      </w:r>
      <w:r w:rsidR="00145ACA">
        <w:t>,</w:t>
      </w:r>
      <w:r w:rsidR="0063289D" w:rsidRPr="00F94FA9">
        <w:t xml:space="preserve"> increased activity in the hypothalamic-pituitary-adrenal (HPA) axis and gut inflammation along with </w:t>
      </w:r>
      <w:r w:rsidR="0063289D" w:rsidRPr="009C5A9E">
        <w:rPr>
          <w:i/>
        </w:rPr>
        <w:t>Firmicutes/ Bacteroidetes</w:t>
      </w:r>
      <w:r w:rsidR="0063289D" w:rsidRPr="00F94FA9">
        <w:t xml:space="preserve"> imbalance</w:t>
      </w:r>
      <w:r w:rsidR="00145ACA">
        <w:t>. A</w:t>
      </w:r>
      <w:r w:rsidR="0063289D" w:rsidRPr="00F94FA9">
        <w:t xml:space="preserve">ll of these conditions were improved by supplementation. The authors concluded from their review that omega-3-fatty acids were beneficial for gut </w:t>
      </w:r>
      <w:r w:rsidR="001F7641" w:rsidRPr="00F94FA9">
        <w:t xml:space="preserve">microbiota, leading to greater epithelial </w:t>
      </w:r>
      <w:r w:rsidR="0063289D" w:rsidRPr="00F94FA9">
        <w:t xml:space="preserve">integrity and </w:t>
      </w:r>
      <w:r w:rsidR="00582074" w:rsidRPr="00F94FA9">
        <w:t xml:space="preserve">function of the </w:t>
      </w:r>
      <w:r w:rsidR="0063289D" w:rsidRPr="00F94FA9">
        <w:t>immun</w:t>
      </w:r>
      <w:r w:rsidR="001F7641" w:rsidRPr="00F94FA9">
        <w:t xml:space="preserve">e </w:t>
      </w:r>
      <w:r w:rsidR="00FE4914">
        <w:t>system</w:t>
      </w:r>
      <w:r w:rsidR="00FE4914" w:rsidRPr="00F94FA9">
        <w:t xml:space="preserve"> </w:t>
      </w:r>
      <w:r w:rsidR="001F7641" w:rsidRPr="00F94FA9">
        <w:t>and thence</w:t>
      </w:r>
      <w:r w:rsidR="00582074" w:rsidRPr="00F94FA9">
        <w:t xml:space="preserve"> of</w:t>
      </w:r>
      <w:r w:rsidR="001F7641" w:rsidRPr="00F94FA9">
        <w:t xml:space="preserve"> the gut-brain axis.</w:t>
      </w:r>
    </w:p>
    <w:p w:rsidR="009C5A9E" w:rsidRDefault="009C5A9E" w:rsidP="00F40887">
      <w:pPr>
        <w:pStyle w:val="ListParagraph"/>
      </w:pPr>
    </w:p>
    <w:p w:rsidR="008734C3" w:rsidRDefault="008734C3" w:rsidP="00F40887">
      <w:pPr>
        <w:pStyle w:val="ListParagraph"/>
        <w:numPr>
          <w:ilvl w:val="2"/>
          <w:numId w:val="1"/>
        </w:numPr>
        <w:tabs>
          <w:tab w:val="left" w:pos="0"/>
        </w:tabs>
        <w:spacing w:before="240" w:line="240" w:lineRule="auto"/>
        <w:ind w:left="0" w:firstLine="0"/>
      </w:pPr>
      <w:r w:rsidRPr="00F94FA9">
        <w:t xml:space="preserve">Shinohara </w:t>
      </w:r>
      <w:r w:rsidRPr="009C5A9E">
        <w:rPr>
          <w:i/>
        </w:rPr>
        <w:t xml:space="preserve">et al </w:t>
      </w:r>
      <w:r w:rsidRPr="00F94FA9">
        <w:t xml:space="preserve">(2010) observed that apple pectin consumption was associated with an improved intestinal environment because isolates of “beneficial” bacteria such as </w:t>
      </w:r>
      <w:r w:rsidRPr="009C5A9E">
        <w:rPr>
          <w:i/>
        </w:rPr>
        <w:t>Bifid</w:t>
      </w:r>
      <w:r w:rsidR="009E1ADC" w:rsidRPr="009C5A9E">
        <w:rPr>
          <w:i/>
        </w:rPr>
        <w:t>o</w:t>
      </w:r>
      <w:r w:rsidRPr="009C5A9E">
        <w:rPr>
          <w:i/>
        </w:rPr>
        <w:t>bacteria</w:t>
      </w:r>
      <w:r w:rsidRPr="00F94FA9">
        <w:t xml:space="preserve"> and </w:t>
      </w:r>
      <w:r w:rsidRPr="009C5A9E">
        <w:rPr>
          <w:i/>
        </w:rPr>
        <w:t>Lactobacillus</w:t>
      </w:r>
      <w:r w:rsidRPr="00F94FA9">
        <w:t xml:space="preserve"> from faecal samples from healthy human individuals were capable of metabolising this carbon source, whereas other, potentially harmful species such as </w:t>
      </w:r>
      <w:r w:rsidRPr="009C5A9E">
        <w:rPr>
          <w:i/>
        </w:rPr>
        <w:t>Escherichia coli</w:t>
      </w:r>
      <w:r w:rsidRPr="00F94FA9">
        <w:t xml:space="preserve"> and </w:t>
      </w:r>
      <w:r w:rsidRPr="009C5A9E">
        <w:rPr>
          <w:i/>
        </w:rPr>
        <w:t>Clostridium perfringens</w:t>
      </w:r>
      <w:r w:rsidRPr="00F94FA9">
        <w:t xml:space="preserve"> were not. Sahasrabudhe </w:t>
      </w:r>
      <w:r w:rsidRPr="009C5A9E">
        <w:rPr>
          <w:i/>
        </w:rPr>
        <w:t>et al</w:t>
      </w:r>
      <w:r w:rsidRPr="00F94FA9">
        <w:t xml:space="preserve"> (2018) also observed that lemon pectins with various levels of methyl esterification ameliorated doxorubicin-induced ileitis in mice via activation of Toll-like receptor 2-1 but this effect did not appear to be mediated via microbial SCFA production. The authors concluded that the microbiota may not always be involved in the </w:t>
      </w:r>
      <w:r w:rsidR="00FE4914">
        <w:t xml:space="preserve">intestinal </w:t>
      </w:r>
      <w:r w:rsidRPr="00F94FA9">
        <w:t>effects of xenobiotics.</w:t>
      </w:r>
    </w:p>
    <w:p w:rsidR="009424D2" w:rsidRDefault="009424D2" w:rsidP="009424D2">
      <w:pPr>
        <w:pStyle w:val="ListParagraph"/>
      </w:pPr>
    </w:p>
    <w:p w:rsidR="00272F8A" w:rsidRDefault="00866FA6" w:rsidP="00272F8A">
      <w:pPr>
        <w:pStyle w:val="ListParagraph"/>
        <w:numPr>
          <w:ilvl w:val="2"/>
          <w:numId w:val="1"/>
        </w:numPr>
        <w:tabs>
          <w:tab w:val="left" w:pos="0"/>
        </w:tabs>
        <w:spacing w:before="240" w:line="240" w:lineRule="auto"/>
        <w:ind w:left="0" w:firstLine="0"/>
      </w:pPr>
      <w:r>
        <w:t xml:space="preserve">Chassaing </w:t>
      </w:r>
      <w:r w:rsidRPr="009424D2">
        <w:rPr>
          <w:i/>
          <w:iCs/>
        </w:rPr>
        <w:t xml:space="preserve">et al </w:t>
      </w:r>
      <w:r>
        <w:t>(2017) used the SHIME system to investigate the effect of the emulsifiers carboxymethyl cellulose and polysorbate 80, commonly used food additives</w:t>
      </w:r>
      <w:r w:rsidR="00844FB7">
        <w:t>,</w:t>
      </w:r>
      <w:r>
        <w:t xml:space="preserve"> on the human microbiota</w:t>
      </w:r>
      <w:r w:rsidR="00D35F42">
        <w:t>. They then implanted the treated or control human faeces from the SHIME apparatus into gnotobiotic mice to observe any physiological effects.</w:t>
      </w:r>
      <w:r w:rsidR="00674C4C">
        <w:t xml:space="preserve"> The emulsifiers were found </w:t>
      </w:r>
      <w:r w:rsidR="00BF7270">
        <w:t>to affect the bacterial diversity of the SHIME model</w:t>
      </w:r>
      <w:r w:rsidR="00AE0BA6">
        <w:t xml:space="preserve"> and</w:t>
      </w:r>
      <w:r w:rsidR="00EC4009">
        <w:t xml:space="preserve"> increas</w:t>
      </w:r>
      <w:r w:rsidR="00AE0BA6">
        <w:t>ed</w:t>
      </w:r>
      <w:r w:rsidR="00EC4009">
        <w:t xml:space="preserve"> the </w:t>
      </w:r>
      <w:r w:rsidR="00836F97">
        <w:t xml:space="preserve">level of inflammatory markers such as flagellin and </w:t>
      </w:r>
      <w:proofErr w:type="gramStart"/>
      <w:r w:rsidR="00836F97">
        <w:t>LPS,</w:t>
      </w:r>
      <w:r w:rsidR="00BF7270">
        <w:t xml:space="preserve"> but</w:t>
      </w:r>
      <w:proofErr w:type="gramEnd"/>
      <w:r w:rsidR="00BF7270">
        <w:t xml:space="preserve"> did not have marked effects on the gut of the mice when administered directly. However, proinflammatory changes were observed in the gut of mice into which the treated SHIME faeces was transplanted, suggesting that the initial effect of the emulsifiers was on the microbiota</w:t>
      </w:r>
      <w:r w:rsidR="00EC4009">
        <w:t>, which then affected the response of the host. The effects on the microbiota and the host were found to persist even after the emulsifiers would have been flushed from the gut, indicating that the changes in the host fed back on the microbiota,</w:t>
      </w:r>
      <w:r w:rsidR="00836F97">
        <w:t xml:space="preserve"> </w:t>
      </w:r>
      <w:r w:rsidR="00EC4009">
        <w:t>maintaining its altered phenotype.</w:t>
      </w:r>
    </w:p>
    <w:p w:rsidR="00272F8A" w:rsidRDefault="00272F8A" w:rsidP="00272F8A">
      <w:pPr>
        <w:pStyle w:val="ListParagraph"/>
        <w:tabs>
          <w:tab w:val="left" w:pos="0"/>
        </w:tabs>
        <w:spacing w:before="240" w:line="240" w:lineRule="auto"/>
        <w:ind w:left="0"/>
      </w:pPr>
    </w:p>
    <w:p w:rsidR="002F3504" w:rsidRDefault="00D00EFD" w:rsidP="00272F8A">
      <w:pPr>
        <w:pStyle w:val="ListParagraph"/>
        <w:numPr>
          <w:ilvl w:val="2"/>
          <w:numId w:val="1"/>
        </w:numPr>
        <w:tabs>
          <w:tab w:val="left" w:pos="0"/>
        </w:tabs>
        <w:spacing w:before="240" w:line="240" w:lineRule="auto"/>
        <w:ind w:left="0" w:firstLine="0"/>
      </w:pPr>
      <w:r>
        <w:t>E</w:t>
      </w:r>
      <w:r w:rsidR="007F6955">
        <w:t xml:space="preserve">ngen </w:t>
      </w:r>
      <w:r w:rsidR="007F6955" w:rsidRPr="009424D2">
        <w:rPr>
          <w:i/>
          <w:iCs/>
        </w:rPr>
        <w:t>et al</w:t>
      </w:r>
      <w:r w:rsidR="007F6955">
        <w:t xml:space="preserve"> (2015) reviewed the effects of </w:t>
      </w:r>
      <w:r w:rsidR="00F55132">
        <w:t>ethan</w:t>
      </w:r>
      <w:r w:rsidR="007F6955">
        <w:t>o</w:t>
      </w:r>
      <w:r w:rsidR="006C2456">
        <w:t>l</w:t>
      </w:r>
      <w:r w:rsidR="007F6955">
        <w:t xml:space="preserve"> on the human gut microbiota</w:t>
      </w:r>
      <w:r w:rsidR="00A477C0">
        <w:t xml:space="preserve">. The studies reviewed showed that alcoholic patients with or without cirrhosis of the liver had increases in the </w:t>
      </w:r>
      <w:r w:rsidR="00A477C0" w:rsidRPr="009424D2">
        <w:rPr>
          <w:i/>
          <w:iCs/>
        </w:rPr>
        <w:t xml:space="preserve">Proteobacteria </w:t>
      </w:r>
      <w:r w:rsidR="00A477C0">
        <w:t xml:space="preserve"> phylum, with various genera in the </w:t>
      </w:r>
      <w:r w:rsidR="00A477C0" w:rsidRPr="009424D2">
        <w:rPr>
          <w:i/>
          <w:iCs/>
        </w:rPr>
        <w:t xml:space="preserve">Bacteroidetes </w:t>
      </w:r>
      <w:r w:rsidR="00A477C0">
        <w:t xml:space="preserve">and </w:t>
      </w:r>
      <w:r w:rsidR="00A477C0" w:rsidRPr="009424D2">
        <w:rPr>
          <w:i/>
          <w:iCs/>
        </w:rPr>
        <w:t>Firmicutes</w:t>
      </w:r>
      <w:r w:rsidR="00A477C0">
        <w:t xml:space="preserve"> either increasing or decreasing. The type of alcoholic beverage appeared to affect the ensuing changes, with some of the changes apparently induced in healthy people consuming red wine being beneficial in character, especially an increase in </w:t>
      </w:r>
      <w:r w:rsidR="00A477C0" w:rsidRPr="009424D2">
        <w:rPr>
          <w:i/>
          <w:iCs/>
        </w:rPr>
        <w:t>Bifidobacteria</w:t>
      </w:r>
      <w:r w:rsidR="00A477C0">
        <w:t>, th</w:t>
      </w:r>
      <w:r w:rsidR="00844FB7">
        <w:t>a</w:t>
      </w:r>
      <w:r w:rsidR="00A477C0">
        <w:t>t were not seen in consumers of gin</w:t>
      </w:r>
      <w:r w:rsidR="00B1069D">
        <w:t>. The difference between de-alcoholised red wine and gin were more marked, suggesting that the polyphenol content of the wine may have been responsible.</w:t>
      </w:r>
      <w:r w:rsidR="00627A76">
        <w:t xml:space="preserve"> The authors concluded that alcohol-d</w:t>
      </w:r>
      <w:r w:rsidR="00B1069D">
        <w:t>isrupted intestinal barrier function, in combination with alcohol</w:t>
      </w:r>
      <w:r w:rsidR="00627A76">
        <w:t xml:space="preserve"> </w:t>
      </w:r>
      <w:r w:rsidR="00B1069D">
        <w:t xml:space="preserve">induced bacterial overgrowth and dysbiosis, could be relevant for the development of alcohol-induced liver pathology, including </w:t>
      </w:r>
      <w:r w:rsidR="00627A76">
        <w:t>alcoholic liver disease (</w:t>
      </w:r>
      <w:r w:rsidR="00B1069D">
        <w:t>ALD</w:t>
      </w:r>
      <w:r w:rsidR="00627A76">
        <w:t>)</w:t>
      </w:r>
      <w:r w:rsidR="00B1069D">
        <w:t>. Studies show</w:t>
      </w:r>
      <w:r w:rsidR="00627A76">
        <w:t>ed</w:t>
      </w:r>
      <w:r w:rsidR="00B1069D">
        <w:t xml:space="preserve"> that alcohol consumption disrupt</w:t>
      </w:r>
      <w:r w:rsidR="00627A76">
        <w:t>ed</w:t>
      </w:r>
      <w:r w:rsidR="00B1069D">
        <w:t xml:space="preserve"> the intestinal barrier via increas</w:t>
      </w:r>
      <w:r w:rsidR="00AE0BA6">
        <w:t>ed</w:t>
      </w:r>
      <w:r w:rsidR="00B1069D">
        <w:t xml:space="preserve"> oxidative stress in the intestine, which in turn disrupt</w:t>
      </w:r>
      <w:r w:rsidR="00627A76">
        <w:t>ed</w:t>
      </w:r>
      <w:r w:rsidR="00B1069D">
        <w:t xml:space="preserve"> tight junctions and promote</w:t>
      </w:r>
      <w:r w:rsidR="00627A76">
        <w:t>d</w:t>
      </w:r>
      <w:r w:rsidR="00B1069D">
        <w:t xml:space="preserve"> intestinal hyperpermeability </w:t>
      </w:r>
    </w:p>
    <w:p w:rsidR="006313D5" w:rsidRDefault="006313D5" w:rsidP="00272F8A">
      <w:pPr>
        <w:pStyle w:val="ListParagraph"/>
        <w:tabs>
          <w:tab w:val="left" w:pos="0"/>
        </w:tabs>
        <w:spacing w:before="240" w:line="240" w:lineRule="auto"/>
        <w:ind w:left="0"/>
      </w:pPr>
    </w:p>
    <w:p w:rsidR="006313D5" w:rsidRDefault="006313D5" w:rsidP="00627A76">
      <w:pPr>
        <w:pStyle w:val="ListParagraph"/>
        <w:numPr>
          <w:ilvl w:val="2"/>
          <w:numId w:val="1"/>
        </w:numPr>
        <w:tabs>
          <w:tab w:val="left" w:pos="0"/>
        </w:tabs>
        <w:spacing w:before="240" w:line="240" w:lineRule="auto"/>
        <w:ind w:left="0" w:firstLine="0"/>
      </w:pPr>
      <w:r>
        <w:t xml:space="preserve">Kosnicki </w:t>
      </w:r>
      <w:r>
        <w:rPr>
          <w:i/>
          <w:iCs/>
        </w:rPr>
        <w:t>et al</w:t>
      </w:r>
      <w:r>
        <w:t xml:space="preserve"> (2019) compared the effects of ethanol consumption on the microbiota of Wistar rats, gavage-dosed with ethanol at 20% v/v for 12 weeks with that of human “moderate” drinkers from the American Gut Project (AGP). Despite the fact that the consumption conditions differed markedly between the two studied groups, the authors felt that the large numbers of people in the AGP cohort</w:t>
      </w:r>
      <w:r w:rsidR="00B56A34">
        <w:t xml:space="preserve"> were sufficient for patterns to become evident. The more acute exposure in the rats led to reduced alpha (within group) and beta (between treated and control group) microbial diversity in the treated group, with the balance of taxa tending toward an inflammatory phenotype. In the human group, alpha and beta diversity was significantly higher in the alcohol drinkers</w:t>
      </w:r>
      <w:r w:rsidR="00787972">
        <w:t>. Of particular note, however</w:t>
      </w:r>
      <w:r w:rsidR="002737EF">
        <w:t>,</w:t>
      </w:r>
      <w:r w:rsidR="00787972">
        <w:t xml:space="preserve"> was the downward trend of the genus </w:t>
      </w:r>
      <w:r w:rsidR="00787972">
        <w:rPr>
          <w:i/>
          <w:iCs/>
        </w:rPr>
        <w:t>Lactobacillus</w:t>
      </w:r>
      <w:r w:rsidR="00787972">
        <w:t xml:space="preserve"> in both rats and humans. </w:t>
      </w:r>
      <w:r w:rsidR="00787972" w:rsidRPr="00272F8A">
        <w:rPr>
          <w:i/>
          <w:iCs/>
        </w:rPr>
        <w:t>Lactobacillus</w:t>
      </w:r>
      <w:r w:rsidR="00787972">
        <w:t xml:space="preserve"> is known to </w:t>
      </w:r>
      <w:r w:rsidR="006A79B9">
        <w:t xml:space="preserve">protect the gut epithelium from tight junction disruption and translocation of bacteria and LPS by </w:t>
      </w:r>
      <w:r w:rsidR="00787972">
        <w:t>metabolis</w:t>
      </w:r>
      <w:r w:rsidR="006A79B9">
        <w:t>ing</w:t>
      </w:r>
      <w:r w:rsidR="00787972">
        <w:t xml:space="preserve"> </w:t>
      </w:r>
      <w:r w:rsidR="006A79B9">
        <w:t>acetaldehyde to acetate</w:t>
      </w:r>
      <w:r w:rsidR="002737EF">
        <w:t>. There were some hints at a “rebound” in diversity towards the end of the rat study, suggesting that the responses of the rat and human microbiota might be more similar over longer timescales.</w:t>
      </w:r>
    </w:p>
    <w:p w:rsidR="006313D5" w:rsidRDefault="006313D5" w:rsidP="00272F8A">
      <w:pPr>
        <w:pStyle w:val="ListParagraph"/>
        <w:tabs>
          <w:tab w:val="left" w:pos="0"/>
        </w:tabs>
        <w:spacing w:before="240" w:line="240" w:lineRule="auto"/>
        <w:ind w:left="801"/>
      </w:pPr>
    </w:p>
    <w:p w:rsidR="008624F4" w:rsidRPr="00CF23B1" w:rsidRDefault="008624F4" w:rsidP="00F40887">
      <w:pPr>
        <w:pStyle w:val="ListParagraph"/>
        <w:tabs>
          <w:tab w:val="left" w:pos="0"/>
        </w:tabs>
        <w:spacing w:before="240" w:line="240" w:lineRule="auto"/>
        <w:ind w:left="0"/>
        <w:rPr>
          <w:iCs/>
          <w:u w:val="single"/>
        </w:rPr>
      </w:pPr>
      <w:r w:rsidRPr="00CF23B1">
        <w:rPr>
          <w:iCs/>
          <w:u w:val="single"/>
        </w:rPr>
        <w:t>Sweetener</w:t>
      </w:r>
      <w:r w:rsidR="009C5A9E" w:rsidRPr="00CF23B1">
        <w:rPr>
          <w:iCs/>
          <w:u w:val="single"/>
        </w:rPr>
        <w:t>s</w:t>
      </w:r>
    </w:p>
    <w:p w:rsidR="009C5A9E" w:rsidRDefault="009C5A9E" w:rsidP="00F40887">
      <w:pPr>
        <w:pStyle w:val="ListParagraph"/>
      </w:pPr>
    </w:p>
    <w:p w:rsidR="00712781" w:rsidRDefault="00712781" w:rsidP="00F40887">
      <w:pPr>
        <w:pStyle w:val="ListParagraph"/>
        <w:numPr>
          <w:ilvl w:val="2"/>
          <w:numId w:val="1"/>
        </w:numPr>
        <w:tabs>
          <w:tab w:val="left" w:pos="0"/>
        </w:tabs>
        <w:spacing w:before="240" w:line="240" w:lineRule="auto"/>
        <w:ind w:left="0" w:firstLine="0"/>
      </w:pPr>
      <w:r w:rsidRPr="00F94FA9">
        <w:t xml:space="preserve">Wang </w:t>
      </w:r>
      <w:r w:rsidRPr="009C5A9E">
        <w:rPr>
          <w:i/>
        </w:rPr>
        <w:t>et al (</w:t>
      </w:r>
      <w:r w:rsidRPr="00F94FA9">
        <w:t xml:space="preserve">2018) </w:t>
      </w:r>
      <w:r w:rsidR="004703DF" w:rsidRPr="00F94FA9">
        <w:t>studied the bacteriostatic effects of 4 non-nutritive sweeteners (sucralose, saccharin, ac</w:t>
      </w:r>
      <w:r w:rsidR="008828A3" w:rsidRPr="00F94FA9">
        <w:t>es</w:t>
      </w:r>
      <w:r w:rsidR="004703DF" w:rsidRPr="00F94FA9">
        <w:t xml:space="preserve">ulfame-K and rebaudioside A (from Stevia)) on </w:t>
      </w:r>
      <w:r w:rsidR="004703DF" w:rsidRPr="009C5A9E">
        <w:rPr>
          <w:i/>
        </w:rPr>
        <w:t xml:space="preserve">E. </w:t>
      </w:r>
      <w:r w:rsidR="00F94FA9" w:rsidRPr="009C5A9E">
        <w:rPr>
          <w:i/>
        </w:rPr>
        <w:t>coli</w:t>
      </w:r>
      <w:r w:rsidR="00F94FA9" w:rsidRPr="00F94FA9">
        <w:t xml:space="preserve"> </w:t>
      </w:r>
      <w:r w:rsidR="00F94FA9" w:rsidRPr="009C5A9E">
        <w:rPr>
          <w:i/>
        </w:rPr>
        <w:t>in</w:t>
      </w:r>
      <w:r w:rsidR="004703DF" w:rsidRPr="009C5A9E">
        <w:rPr>
          <w:i/>
        </w:rPr>
        <w:t xml:space="preserve"> vitro </w:t>
      </w:r>
      <w:r w:rsidR="004703DF" w:rsidRPr="00F94FA9">
        <w:t xml:space="preserve">and on the microbiota, food intake and body weight of </w:t>
      </w:r>
      <w:r w:rsidR="00A64046" w:rsidRPr="00F94FA9">
        <w:t>mice. Ac</w:t>
      </w:r>
      <w:r w:rsidR="008828A3" w:rsidRPr="00F94FA9">
        <w:t>es</w:t>
      </w:r>
      <w:r w:rsidR="00A64046" w:rsidRPr="00F94FA9">
        <w:t xml:space="preserve">ulfame-K and saccharin (0.25% w/v) exerted a bacteriostatic effect on two </w:t>
      </w:r>
      <w:r w:rsidR="00A64046" w:rsidRPr="009C5A9E">
        <w:rPr>
          <w:i/>
        </w:rPr>
        <w:t>E, coli</w:t>
      </w:r>
      <w:r w:rsidR="00A64046" w:rsidRPr="00F94FA9">
        <w:t xml:space="preserve"> strains in liquid culture, as measured by OD</w:t>
      </w:r>
      <w:r w:rsidR="00A64046" w:rsidRPr="009C5A9E">
        <w:rPr>
          <w:vertAlign w:val="subscript"/>
        </w:rPr>
        <w:t>600,</w:t>
      </w:r>
      <w:r w:rsidR="00A64046" w:rsidRPr="00F94FA9">
        <w:t xml:space="preserve"> whereas sucralose did not.</w:t>
      </w:r>
      <w:r w:rsidR="004703DF" w:rsidRPr="00F94FA9">
        <w:t xml:space="preserve"> </w:t>
      </w:r>
      <w:r w:rsidR="00A64046" w:rsidRPr="00F94FA9">
        <w:t>Rebaudioside</w:t>
      </w:r>
      <w:r w:rsidR="00634835" w:rsidRPr="00F94FA9">
        <w:t xml:space="preserve"> (2.5% w/v)</w:t>
      </w:r>
      <w:r w:rsidR="00A64046" w:rsidRPr="00F94FA9">
        <w:t xml:space="preserve"> inhibited the growth of </w:t>
      </w:r>
      <w:r w:rsidR="00A64046" w:rsidRPr="009C5A9E">
        <w:rPr>
          <w:i/>
        </w:rPr>
        <w:t>E. coli</w:t>
      </w:r>
      <w:r w:rsidR="00A64046" w:rsidRPr="00F94FA9">
        <w:t xml:space="preserve"> strain HB101 on agar, but not that of strain </w:t>
      </w:r>
      <w:r w:rsidR="00634835" w:rsidRPr="00F94FA9">
        <w:t xml:space="preserve">K-12. </w:t>
      </w:r>
      <w:r w:rsidR="00634835" w:rsidRPr="009C5A9E">
        <w:rPr>
          <w:i/>
        </w:rPr>
        <w:t>In vivo</w:t>
      </w:r>
      <w:r w:rsidR="00634835" w:rsidRPr="00F94FA9">
        <w:t>, a high fat diet</w:t>
      </w:r>
      <w:r w:rsidR="008828A3" w:rsidRPr="00F94FA9">
        <w:t xml:space="preserve"> in mice</w:t>
      </w:r>
      <w:r w:rsidR="00634835" w:rsidRPr="00F94FA9">
        <w:t xml:space="preserve"> increased food (and hence calorie) intake and reduced water intake and sucralose had no effect on </w:t>
      </w:r>
      <w:r w:rsidR="00E067D6" w:rsidRPr="00F94FA9">
        <w:t>this,</w:t>
      </w:r>
      <w:r w:rsidR="00634835" w:rsidRPr="00F94FA9">
        <w:t xml:space="preserve"> but high fat also reduced faecal output and sucralose partially reversed this effect</w:t>
      </w:r>
      <w:r w:rsidR="0069511E" w:rsidRPr="00F94FA9">
        <w:t xml:space="preserve"> (p&lt;0.05).</w:t>
      </w:r>
      <w:r w:rsidR="006C3F14" w:rsidRPr="00F94FA9">
        <w:t xml:space="preserve"> </w:t>
      </w:r>
      <w:r w:rsidR="0069511E" w:rsidRPr="00F94FA9">
        <w:t xml:space="preserve">On normal diet, mice fed sucralose showed a significant increase in the </w:t>
      </w:r>
      <w:r w:rsidR="0069511E" w:rsidRPr="009C5A9E">
        <w:rPr>
          <w:i/>
        </w:rPr>
        <w:t>Firmicutes</w:t>
      </w:r>
      <w:r w:rsidR="0069511E" w:rsidRPr="00F94FA9">
        <w:t xml:space="preserve"> (p&lt;0.05) and a trend to reduced </w:t>
      </w:r>
      <w:r w:rsidR="0069511E" w:rsidRPr="009C5A9E">
        <w:rPr>
          <w:i/>
        </w:rPr>
        <w:t>Bacteroi</w:t>
      </w:r>
      <w:r w:rsidR="005D0E04" w:rsidRPr="009C5A9E">
        <w:rPr>
          <w:i/>
        </w:rPr>
        <w:t>d</w:t>
      </w:r>
      <w:r w:rsidR="0069511E" w:rsidRPr="009C5A9E">
        <w:rPr>
          <w:i/>
        </w:rPr>
        <w:t>etes</w:t>
      </w:r>
      <w:r w:rsidR="0069511E" w:rsidRPr="00F94FA9">
        <w:t xml:space="preserve"> (p = 0.117), without changes in the other major phyla. At the genus level, sucralose significantly increased the abundance of the </w:t>
      </w:r>
      <w:r w:rsidR="0069511E" w:rsidRPr="009C5A9E">
        <w:rPr>
          <w:i/>
        </w:rPr>
        <w:t>Bifidobacteria</w:t>
      </w:r>
      <w:r w:rsidR="00AA6725" w:rsidRPr="00F94FA9">
        <w:t xml:space="preserve"> but not the</w:t>
      </w:r>
      <w:r w:rsidR="00AA6725" w:rsidRPr="009C5A9E">
        <w:rPr>
          <w:i/>
        </w:rPr>
        <w:t xml:space="preserve"> Clostridia</w:t>
      </w:r>
      <w:r w:rsidR="00AA6725" w:rsidRPr="00F94FA9">
        <w:t>.</w:t>
      </w:r>
      <w:r w:rsidR="004E39E8" w:rsidRPr="00F94FA9">
        <w:t xml:space="preserve"> </w:t>
      </w:r>
      <w:r w:rsidR="0020403B">
        <w:t xml:space="preserve">Despite the sometimes </w:t>
      </w:r>
      <w:r w:rsidR="00B71843">
        <w:t>higher than dietary levels of some of the sweeteners used, t</w:t>
      </w:r>
      <w:r w:rsidR="004E39E8" w:rsidRPr="00B71843">
        <w:t>he</w:t>
      </w:r>
      <w:r w:rsidR="004E39E8" w:rsidRPr="00F94FA9">
        <w:t xml:space="preserve"> authors concluded that non-nutritive sweeteners exert a variety of effects on the microbiota with consequences for the host that should be followed up.</w:t>
      </w:r>
    </w:p>
    <w:p w:rsidR="009C5A9E" w:rsidRDefault="009C5A9E" w:rsidP="00F40887">
      <w:pPr>
        <w:pStyle w:val="ListParagraph"/>
        <w:tabs>
          <w:tab w:val="left" w:pos="0"/>
        </w:tabs>
        <w:spacing w:before="240" w:line="240" w:lineRule="auto"/>
        <w:ind w:left="0"/>
      </w:pPr>
    </w:p>
    <w:p w:rsidR="008624F4" w:rsidRPr="009C5A9E" w:rsidRDefault="008624F4" w:rsidP="00F40887">
      <w:pPr>
        <w:pStyle w:val="ListParagraph"/>
        <w:numPr>
          <w:ilvl w:val="2"/>
          <w:numId w:val="1"/>
        </w:numPr>
        <w:tabs>
          <w:tab w:val="left" w:pos="0"/>
        </w:tabs>
        <w:spacing w:before="240" w:line="240" w:lineRule="auto"/>
        <w:ind w:left="0" w:firstLine="0"/>
      </w:pPr>
      <w:r w:rsidRPr="009C5A9E">
        <w:rPr>
          <w:szCs w:val="24"/>
        </w:rPr>
        <w:t xml:space="preserve">Lobach </w:t>
      </w:r>
      <w:r w:rsidRPr="009C5A9E">
        <w:rPr>
          <w:i/>
          <w:szCs w:val="24"/>
        </w:rPr>
        <w:t>et al</w:t>
      </w:r>
      <w:r w:rsidRPr="009C5A9E">
        <w:rPr>
          <w:szCs w:val="24"/>
        </w:rPr>
        <w:t xml:space="preserve"> (2019) reviewed the area of low/ no-calorie sweeteners on the gut microbiota</w:t>
      </w:r>
      <w:r w:rsidR="008F6CF1" w:rsidRPr="009C5A9E">
        <w:rPr>
          <w:szCs w:val="24"/>
        </w:rPr>
        <w:t>. Papers on ac</w:t>
      </w:r>
      <w:r w:rsidR="006C3F14" w:rsidRPr="009C5A9E">
        <w:rPr>
          <w:szCs w:val="24"/>
        </w:rPr>
        <w:t>es</w:t>
      </w:r>
      <w:r w:rsidR="008F6CF1" w:rsidRPr="009C5A9E">
        <w:rPr>
          <w:szCs w:val="24"/>
        </w:rPr>
        <w:t xml:space="preserve">ulfame-K, aspartame, cyclamate, saccharin, neotame, sucralose and rebaudioside A </w:t>
      </w:r>
      <w:r w:rsidR="002D26A9" w:rsidRPr="009C5A9E">
        <w:rPr>
          <w:szCs w:val="24"/>
        </w:rPr>
        <w:t xml:space="preserve">were </w:t>
      </w:r>
      <w:r w:rsidR="008F6CF1" w:rsidRPr="009C5A9E">
        <w:rPr>
          <w:szCs w:val="24"/>
        </w:rPr>
        <w:t>discussed. Changes in the balance of the microbiota are noted in some studies but not in others and different studies highlight different bacterial genera. Most studies use</w:t>
      </w:r>
      <w:r w:rsidR="002D26A9" w:rsidRPr="009C5A9E">
        <w:rPr>
          <w:szCs w:val="24"/>
        </w:rPr>
        <w:t>d</w:t>
      </w:r>
      <w:r w:rsidR="008F6CF1" w:rsidRPr="009C5A9E">
        <w:rPr>
          <w:szCs w:val="24"/>
        </w:rPr>
        <w:t xml:space="preserve"> doses higher than the </w:t>
      </w:r>
      <w:r w:rsidR="00297A36">
        <w:rPr>
          <w:szCs w:val="24"/>
        </w:rPr>
        <w:t>Acceptable Daily Intake (</w:t>
      </w:r>
      <w:r w:rsidR="00385CBD" w:rsidRPr="009C5A9E">
        <w:rPr>
          <w:szCs w:val="24"/>
        </w:rPr>
        <w:t>ADI</w:t>
      </w:r>
      <w:r w:rsidR="00297A36">
        <w:rPr>
          <w:szCs w:val="24"/>
        </w:rPr>
        <w:t>)</w:t>
      </w:r>
      <w:r w:rsidR="00385CBD" w:rsidRPr="009C5A9E">
        <w:rPr>
          <w:szCs w:val="24"/>
        </w:rPr>
        <w:t xml:space="preserve"> </w:t>
      </w:r>
      <w:r w:rsidR="008F6CF1" w:rsidRPr="009C5A9E">
        <w:rPr>
          <w:szCs w:val="24"/>
        </w:rPr>
        <w:t xml:space="preserve">and </w:t>
      </w:r>
      <w:r w:rsidR="002D26A9" w:rsidRPr="009C5A9E">
        <w:rPr>
          <w:szCs w:val="24"/>
        </w:rPr>
        <w:t xml:space="preserve">could </w:t>
      </w:r>
      <w:r w:rsidR="008F6CF1" w:rsidRPr="009C5A9E">
        <w:rPr>
          <w:szCs w:val="24"/>
        </w:rPr>
        <w:t>not therefore be equated with th</w:t>
      </w:r>
      <w:r w:rsidR="00C5234D" w:rsidRPr="009C5A9E">
        <w:rPr>
          <w:szCs w:val="24"/>
        </w:rPr>
        <w:t xml:space="preserve">e dose of these compounds as generally used by humans. </w:t>
      </w:r>
      <w:r w:rsidR="00562E90" w:rsidRPr="009C5A9E">
        <w:rPr>
          <w:szCs w:val="24"/>
        </w:rPr>
        <w:t>The review report</w:t>
      </w:r>
      <w:r w:rsidR="002D26A9" w:rsidRPr="009C5A9E">
        <w:rPr>
          <w:szCs w:val="24"/>
        </w:rPr>
        <w:t>ed</w:t>
      </w:r>
      <w:r w:rsidR="00562E90" w:rsidRPr="009C5A9E">
        <w:rPr>
          <w:szCs w:val="24"/>
        </w:rPr>
        <w:t xml:space="preserve"> that m</w:t>
      </w:r>
      <w:r w:rsidR="00A85F0C" w:rsidRPr="009C5A9E">
        <w:rPr>
          <w:rFonts w:cs="Arial"/>
          <w:szCs w:val="24"/>
          <w:shd w:val="clear" w:color="auto" w:fill="FFFFFF"/>
        </w:rPr>
        <w:t>etabolic studies in mice, rats, and humans have</w:t>
      </w:r>
      <w:r w:rsidR="00562E90" w:rsidRPr="009C5A9E">
        <w:rPr>
          <w:rFonts w:cs="Arial"/>
          <w:szCs w:val="24"/>
          <w:shd w:val="clear" w:color="auto" w:fill="FFFFFF"/>
        </w:rPr>
        <w:t xml:space="preserve"> </w:t>
      </w:r>
      <w:r w:rsidR="00A85F0C" w:rsidRPr="009C5A9E">
        <w:rPr>
          <w:rFonts w:cs="Arial"/>
          <w:szCs w:val="24"/>
          <w:shd w:val="clear" w:color="auto" w:fill="FFFFFF"/>
        </w:rPr>
        <w:t>shown that</w:t>
      </w:r>
      <w:r w:rsidR="00562E90" w:rsidRPr="009C5A9E">
        <w:rPr>
          <w:rFonts w:cs="Arial"/>
          <w:szCs w:val="24"/>
          <w:shd w:val="clear" w:color="auto" w:fill="FFFFFF"/>
        </w:rPr>
        <w:t xml:space="preserve"> sucralose is</w:t>
      </w:r>
      <w:r w:rsidR="00A85F0C" w:rsidRPr="009C5A9E">
        <w:rPr>
          <w:rFonts w:cs="Arial"/>
          <w:szCs w:val="24"/>
          <w:shd w:val="clear" w:color="auto" w:fill="FFFFFF"/>
        </w:rPr>
        <w:t xml:space="preserve"> largely unabsorbed</w:t>
      </w:r>
      <w:r w:rsidR="00562E90" w:rsidRPr="009C5A9E">
        <w:rPr>
          <w:rFonts w:cs="Arial"/>
          <w:szCs w:val="24"/>
          <w:shd w:val="clear" w:color="auto" w:fill="FFFFFF"/>
        </w:rPr>
        <w:t xml:space="preserve"> by the gut but</w:t>
      </w:r>
      <w:r w:rsidR="00A85F0C" w:rsidRPr="009C5A9E">
        <w:rPr>
          <w:rFonts w:cs="Arial"/>
          <w:szCs w:val="24"/>
          <w:shd w:val="clear" w:color="auto" w:fill="FFFFFF"/>
        </w:rPr>
        <w:t xml:space="preserve"> is not a substrate for gut microbiota. </w:t>
      </w:r>
      <w:r w:rsidR="00562E90" w:rsidRPr="009C5A9E">
        <w:rPr>
          <w:rFonts w:cs="Arial"/>
          <w:szCs w:val="24"/>
          <w:shd w:val="clear" w:color="auto" w:fill="FFFFFF"/>
        </w:rPr>
        <w:t>N</w:t>
      </w:r>
      <w:r w:rsidR="00A85F0C" w:rsidRPr="009C5A9E">
        <w:rPr>
          <w:rFonts w:cs="Arial"/>
          <w:szCs w:val="24"/>
          <w:shd w:val="clear" w:color="auto" w:fill="FFFFFF"/>
        </w:rPr>
        <w:t>o change in the metabolic</w:t>
      </w:r>
      <w:r w:rsidR="00562E90" w:rsidRPr="009C5A9E">
        <w:rPr>
          <w:rFonts w:cs="Arial"/>
          <w:szCs w:val="24"/>
          <w:shd w:val="clear" w:color="auto" w:fill="FFFFFF"/>
        </w:rPr>
        <w:t xml:space="preserve"> </w:t>
      </w:r>
      <w:r w:rsidR="00A85F0C" w:rsidRPr="009C5A9E">
        <w:rPr>
          <w:rFonts w:cs="Arial"/>
          <w:szCs w:val="24"/>
          <w:shd w:val="clear" w:color="auto" w:fill="FFFFFF"/>
        </w:rPr>
        <w:t>profile</w:t>
      </w:r>
      <w:r w:rsidR="00562E90" w:rsidRPr="009C5A9E">
        <w:rPr>
          <w:rFonts w:cs="Arial"/>
          <w:szCs w:val="24"/>
          <w:shd w:val="clear" w:color="auto" w:fill="FFFFFF"/>
        </w:rPr>
        <w:t xml:space="preserve"> was seen</w:t>
      </w:r>
      <w:r w:rsidR="00A85F0C" w:rsidRPr="009C5A9E">
        <w:rPr>
          <w:rFonts w:cs="Arial"/>
          <w:szCs w:val="24"/>
          <w:shd w:val="clear" w:color="auto" w:fill="FFFFFF"/>
        </w:rPr>
        <w:t xml:space="preserve"> after </w:t>
      </w:r>
      <w:r w:rsidR="00145ACA">
        <w:rPr>
          <w:rFonts w:cs="Arial"/>
          <w:szCs w:val="24"/>
          <w:shd w:val="clear" w:color="auto" w:fill="FFFFFF"/>
        </w:rPr>
        <w:t>a</w:t>
      </w:r>
      <w:r w:rsidR="00FA5DC7">
        <w:rPr>
          <w:rFonts w:cs="Arial"/>
          <w:szCs w:val="24"/>
          <w:shd w:val="clear" w:color="auto" w:fill="FFFFFF"/>
        </w:rPr>
        <w:t xml:space="preserve"> </w:t>
      </w:r>
      <w:r w:rsidR="00E067D6" w:rsidRPr="009C5A9E">
        <w:rPr>
          <w:rFonts w:cs="Arial"/>
          <w:szCs w:val="24"/>
          <w:shd w:val="clear" w:color="auto" w:fill="FFFFFF"/>
        </w:rPr>
        <w:t>1-year</w:t>
      </w:r>
      <w:r w:rsidR="00562E90" w:rsidRPr="009C5A9E">
        <w:rPr>
          <w:rFonts w:cs="Arial"/>
          <w:szCs w:val="24"/>
          <w:shd w:val="clear" w:color="auto" w:fill="FFFFFF"/>
        </w:rPr>
        <w:t xml:space="preserve"> exposure</w:t>
      </w:r>
      <w:r w:rsidR="00A85F0C" w:rsidRPr="009C5A9E">
        <w:rPr>
          <w:rFonts w:cs="Arial"/>
          <w:szCs w:val="24"/>
          <w:shd w:val="clear" w:color="auto" w:fill="FFFFFF"/>
        </w:rPr>
        <w:t>, indicating no microbial</w:t>
      </w:r>
      <w:r w:rsidR="00562E90" w:rsidRPr="009C5A9E">
        <w:rPr>
          <w:rFonts w:cs="Arial"/>
          <w:szCs w:val="24"/>
          <w:shd w:val="clear" w:color="auto" w:fill="FFFFFF"/>
        </w:rPr>
        <w:t xml:space="preserve"> </w:t>
      </w:r>
      <w:r w:rsidR="00A85F0C" w:rsidRPr="009C5A9E">
        <w:rPr>
          <w:rFonts w:cs="Arial"/>
          <w:szCs w:val="24"/>
          <w:shd w:val="clear" w:color="auto" w:fill="FFFFFF"/>
        </w:rPr>
        <w:t>metabolic adaptation, even with very high doses</w:t>
      </w:r>
      <w:r w:rsidR="00562E90" w:rsidRPr="009C5A9E">
        <w:rPr>
          <w:rStyle w:val="frontelement"/>
          <w:rFonts w:cs="Arial"/>
          <w:szCs w:val="24"/>
          <w:shd w:val="clear" w:color="auto" w:fill="FFFFFF"/>
        </w:rPr>
        <w:t>.</w:t>
      </w:r>
      <w:r w:rsidR="00203E8C" w:rsidRPr="009C5A9E">
        <w:rPr>
          <w:rFonts w:cs="Arial"/>
          <w:szCs w:val="24"/>
          <w:shd w:val="clear" w:color="auto" w:fill="FFFFFF"/>
        </w:rPr>
        <w:t xml:space="preserve"> </w:t>
      </w:r>
      <w:r w:rsidR="00562E90" w:rsidRPr="009C5A9E">
        <w:rPr>
          <w:rStyle w:val="frontelement"/>
          <w:rFonts w:cs="Arial"/>
          <w:szCs w:val="24"/>
          <w:shd w:val="clear" w:color="auto" w:fill="FFFFFF"/>
        </w:rPr>
        <w:t>N</w:t>
      </w:r>
      <w:r w:rsidR="00A85F0C" w:rsidRPr="009C5A9E">
        <w:rPr>
          <w:rStyle w:val="frontelement"/>
          <w:rFonts w:cs="Arial"/>
          <w:szCs w:val="24"/>
          <w:shd w:val="clear" w:color="auto" w:fill="FFFFFF"/>
        </w:rPr>
        <w:t>either</w:t>
      </w:r>
      <w:r w:rsidR="00562E90" w:rsidRPr="009C5A9E">
        <w:rPr>
          <w:rStyle w:val="frontelement"/>
          <w:rFonts w:cs="Arial"/>
          <w:szCs w:val="24"/>
          <w:shd w:val="clear" w:color="auto" w:fill="FFFFFF"/>
        </w:rPr>
        <w:t xml:space="preserve"> </w:t>
      </w:r>
      <w:r w:rsidR="00A85F0C" w:rsidRPr="009C5A9E">
        <w:rPr>
          <w:rFonts w:cs="Arial"/>
          <w:szCs w:val="24"/>
          <w:shd w:val="clear" w:color="auto" w:fill="FFFFFF"/>
        </w:rPr>
        <w:t>saccharin nor acesulfame K</w:t>
      </w:r>
      <w:r w:rsidR="00562E90" w:rsidRPr="009C5A9E">
        <w:rPr>
          <w:rFonts w:cs="Arial"/>
          <w:szCs w:val="24"/>
          <w:shd w:val="clear" w:color="auto" w:fill="FFFFFF"/>
        </w:rPr>
        <w:t xml:space="preserve"> </w:t>
      </w:r>
      <w:r w:rsidR="00A85F0C" w:rsidRPr="009C5A9E">
        <w:rPr>
          <w:rFonts w:cs="Arial"/>
          <w:szCs w:val="24"/>
          <w:shd w:val="clear" w:color="auto" w:fill="FFFFFF"/>
        </w:rPr>
        <w:t>under</w:t>
      </w:r>
      <w:r w:rsidR="00562E90" w:rsidRPr="009C5A9E">
        <w:rPr>
          <w:rFonts w:cs="Arial"/>
          <w:szCs w:val="24"/>
          <w:shd w:val="clear" w:color="auto" w:fill="FFFFFF"/>
        </w:rPr>
        <w:t xml:space="preserve">went </w:t>
      </w:r>
      <w:r w:rsidR="00A85F0C" w:rsidRPr="009C5A9E">
        <w:rPr>
          <w:rFonts w:cs="Arial"/>
          <w:szCs w:val="24"/>
          <w:shd w:val="clear" w:color="auto" w:fill="FFFFFF"/>
        </w:rPr>
        <w:t>gastrointestinal metabolism</w:t>
      </w:r>
      <w:r w:rsidR="00562E90" w:rsidRPr="009C5A9E">
        <w:rPr>
          <w:rFonts w:cs="Arial"/>
          <w:szCs w:val="24"/>
          <w:shd w:val="clear" w:color="auto" w:fill="FFFFFF"/>
        </w:rPr>
        <w:t>, but</w:t>
      </w:r>
      <w:r w:rsidR="00203E8C" w:rsidRPr="009C5A9E">
        <w:rPr>
          <w:rFonts w:cs="Arial"/>
          <w:szCs w:val="24"/>
          <w:shd w:val="clear" w:color="auto" w:fill="FFFFFF"/>
        </w:rPr>
        <w:t>,</w:t>
      </w:r>
      <w:r w:rsidR="00A85F0C" w:rsidRPr="009C5A9E">
        <w:rPr>
          <w:rFonts w:cs="Arial"/>
          <w:szCs w:val="24"/>
          <w:shd w:val="clear" w:color="auto" w:fill="FFFFFF"/>
        </w:rPr>
        <w:t xml:space="preserve"> </w:t>
      </w:r>
      <w:r w:rsidR="00350AB7" w:rsidRPr="009C5A9E">
        <w:rPr>
          <w:rFonts w:cs="Arial"/>
          <w:szCs w:val="24"/>
          <w:shd w:val="clear" w:color="auto" w:fill="FFFFFF"/>
        </w:rPr>
        <w:t xml:space="preserve">in </w:t>
      </w:r>
      <w:r w:rsidR="00A85F0C" w:rsidRPr="009C5A9E">
        <w:rPr>
          <w:rFonts w:cs="Arial"/>
          <w:szCs w:val="24"/>
          <w:shd w:val="clear" w:color="auto" w:fill="FFFFFF"/>
        </w:rPr>
        <w:t xml:space="preserve">contrast to sucralose, both of these sweeteners </w:t>
      </w:r>
      <w:r w:rsidR="002D26A9" w:rsidRPr="009C5A9E">
        <w:rPr>
          <w:rFonts w:cs="Arial"/>
          <w:szCs w:val="24"/>
          <w:shd w:val="clear" w:color="auto" w:fill="FFFFFF"/>
        </w:rPr>
        <w:t>were</w:t>
      </w:r>
      <w:r w:rsidR="00A85F0C" w:rsidRPr="009C5A9E">
        <w:rPr>
          <w:rFonts w:cs="Arial"/>
          <w:szCs w:val="24"/>
          <w:shd w:val="clear" w:color="auto" w:fill="FFFFFF"/>
        </w:rPr>
        <w:t xml:space="preserve"> rapidly</w:t>
      </w:r>
      <w:r w:rsidR="00203E8C" w:rsidRPr="009C5A9E">
        <w:rPr>
          <w:rFonts w:cs="Arial"/>
          <w:szCs w:val="24"/>
          <w:shd w:val="clear" w:color="auto" w:fill="FFFFFF"/>
        </w:rPr>
        <w:t xml:space="preserve"> </w:t>
      </w:r>
      <w:r w:rsidR="00A85F0C" w:rsidRPr="009C5A9E">
        <w:rPr>
          <w:rStyle w:val="frontelement"/>
          <w:rFonts w:cs="Arial"/>
          <w:szCs w:val="24"/>
          <w:shd w:val="clear" w:color="auto" w:fill="FFFFFF"/>
        </w:rPr>
        <w:t>absorbed and excreted unchanged in the urine</w:t>
      </w:r>
      <w:r w:rsidR="00350AB7" w:rsidRPr="009C5A9E">
        <w:rPr>
          <w:rStyle w:val="frontelement"/>
          <w:rFonts w:cs="Arial"/>
          <w:szCs w:val="24"/>
          <w:shd w:val="clear" w:color="auto" w:fill="FFFFFF"/>
        </w:rPr>
        <w:t>.</w:t>
      </w:r>
      <w:r w:rsidR="00A85F0C" w:rsidRPr="009C5A9E">
        <w:rPr>
          <w:rStyle w:val="frontelement"/>
          <w:rFonts w:cs="Arial"/>
          <w:sz w:val="19"/>
          <w:szCs w:val="19"/>
          <w:shd w:val="clear" w:color="auto" w:fill="FFFFFF"/>
        </w:rPr>
        <w:t xml:space="preserve"> </w:t>
      </w:r>
      <w:r w:rsidR="00297A36">
        <w:rPr>
          <w:rStyle w:val="frontelement"/>
          <w:rFonts w:cs="Arial"/>
          <w:szCs w:val="24"/>
          <w:shd w:val="clear" w:color="auto" w:fill="FFFFFF"/>
        </w:rPr>
        <w:t>S</w:t>
      </w:r>
      <w:r w:rsidR="00663871" w:rsidRPr="009C5A9E">
        <w:rPr>
          <w:rFonts w:cs="Arial"/>
          <w:szCs w:val="24"/>
          <w:shd w:val="clear" w:color="auto" w:fill="FFFFFF"/>
        </w:rPr>
        <w:t>teviol glycosides pass</w:t>
      </w:r>
      <w:r w:rsidR="002B538D" w:rsidRPr="009C5A9E">
        <w:rPr>
          <w:rFonts w:cs="Arial"/>
          <w:szCs w:val="24"/>
          <w:shd w:val="clear" w:color="auto" w:fill="FFFFFF"/>
        </w:rPr>
        <w:t>ed</w:t>
      </w:r>
      <w:r w:rsidR="00663871" w:rsidRPr="009C5A9E">
        <w:rPr>
          <w:rFonts w:cs="Arial"/>
          <w:szCs w:val="24"/>
          <w:shd w:val="clear" w:color="auto" w:fill="FFFFFF"/>
        </w:rPr>
        <w:t xml:space="preserve"> unabsorbed through the upper portion of the gastrointes</w:t>
      </w:r>
      <w:r w:rsidR="00462674" w:rsidRPr="009C5A9E">
        <w:rPr>
          <w:rFonts w:cs="Arial"/>
          <w:szCs w:val="24"/>
          <w:shd w:val="clear" w:color="auto" w:fill="FFFFFF"/>
        </w:rPr>
        <w:t>t</w:t>
      </w:r>
      <w:r w:rsidR="00663871" w:rsidRPr="009C5A9E">
        <w:rPr>
          <w:rFonts w:cs="Arial"/>
          <w:szCs w:val="24"/>
          <w:shd w:val="clear" w:color="auto" w:fill="FFFFFF"/>
        </w:rPr>
        <w:t xml:space="preserve">inal tract but in the colon the sugar moieties attached to the steviol backbone </w:t>
      </w:r>
      <w:r w:rsidR="002B538D" w:rsidRPr="009C5A9E">
        <w:rPr>
          <w:rFonts w:cs="Arial"/>
          <w:szCs w:val="24"/>
          <w:shd w:val="clear" w:color="auto" w:fill="FFFFFF"/>
        </w:rPr>
        <w:t>were</w:t>
      </w:r>
      <w:r w:rsidR="00663871" w:rsidRPr="009C5A9E">
        <w:rPr>
          <w:rFonts w:cs="Arial"/>
          <w:szCs w:val="24"/>
          <w:shd w:val="clear" w:color="auto" w:fill="FFFFFF"/>
        </w:rPr>
        <w:t xml:space="preserve"> removed by the gut microbiota, primarily of the </w:t>
      </w:r>
      <w:r w:rsidR="00663871" w:rsidRPr="00145ACA">
        <w:rPr>
          <w:rFonts w:cs="Arial"/>
          <w:i/>
          <w:iCs/>
          <w:szCs w:val="24"/>
          <w:shd w:val="clear" w:color="auto" w:fill="FFFFFF"/>
        </w:rPr>
        <w:t>Bacteroidaceae</w:t>
      </w:r>
      <w:r w:rsidR="00663871" w:rsidRPr="009C5A9E">
        <w:rPr>
          <w:rFonts w:cs="Arial"/>
          <w:szCs w:val="24"/>
          <w:shd w:val="clear" w:color="auto" w:fill="FFFFFF"/>
        </w:rPr>
        <w:t xml:space="preserve"> </w:t>
      </w:r>
      <w:r w:rsidR="00663871" w:rsidRPr="009C5A9E">
        <w:rPr>
          <w:rStyle w:val="frontelement"/>
          <w:rFonts w:cs="Arial"/>
          <w:szCs w:val="24"/>
          <w:shd w:val="clear" w:color="auto" w:fill="FFFFFF"/>
        </w:rPr>
        <w:t xml:space="preserve">family. </w:t>
      </w:r>
      <w:r w:rsidR="00663871" w:rsidRPr="009C5A9E">
        <w:rPr>
          <w:rFonts w:cs="Arial"/>
          <w:szCs w:val="24"/>
          <w:shd w:val="clear" w:color="auto" w:fill="FFFFFF"/>
        </w:rPr>
        <w:t xml:space="preserve">Steviol </w:t>
      </w:r>
      <w:r w:rsidR="002B538D" w:rsidRPr="009C5A9E">
        <w:rPr>
          <w:rFonts w:cs="Arial"/>
          <w:szCs w:val="24"/>
          <w:shd w:val="clear" w:color="auto" w:fill="FFFFFF"/>
        </w:rPr>
        <w:t>was</w:t>
      </w:r>
      <w:r w:rsidR="00663871" w:rsidRPr="009C5A9E">
        <w:rPr>
          <w:rFonts w:cs="Arial"/>
          <w:szCs w:val="24"/>
          <w:shd w:val="clear" w:color="auto" w:fill="FFFFFF"/>
        </w:rPr>
        <w:t xml:space="preserve"> not a substrate for the intestinal microbiota and </w:t>
      </w:r>
      <w:r w:rsidR="002B538D" w:rsidRPr="009C5A9E">
        <w:rPr>
          <w:rFonts w:cs="Arial"/>
          <w:szCs w:val="24"/>
          <w:shd w:val="clear" w:color="auto" w:fill="FFFFFF"/>
        </w:rPr>
        <w:t>was</w:t>
      </w:r>
      <w:r w:rsidR="00663871" w:rsidRPr="009C5A9E">
        <w:rPr>
          <w:rFonts w:cs="Arial"/>
          <w:szCs w:val="24"/>
          <w:shd w:val="clear" w:color="auto" w:fill="FFFFFF"/>
        </w:rPr>
        <w:t xml:space="preserve"> absorbed from the colon intact. Following absorption, it </w:t>
      </w:r>
      <w:r w:rsidR="002B538D" w:rsidRPr="009C5A9E">
        <w:rPr>
          <w:rFonts w:cs="Arial"/>
          <w:szCs w:val="24"/>
          <w:shd w:val="clear" w:color="auto" w:fill="FFFFFF"/>
        </w:rPr>
        <w:t>was</w:t>
      </w:r>
      <w:r w:rsidR="00663871" w:rsidRPr="009C5A9E">
        <w:rPr>
          <w:rFonts w:cs="Arial"/>
          <w:szCs w:val="24"/>
          <w:shd w:val="clear" w:color="auto" w:fill="FFFFFF"/>
        </w:rPr>
        <w:t xml:space="preserve"> conjugated with glucuronic</w:t>
      </w:r>
      <w:r w:rsidR="002B538D" w:rsidRPr="009C5A9E">
        <w:rPr>
          <w:rFonts w:cs="Arial"/>
          <w:szCs w:val="24"/>
          <w:shd w:val="clear" w:color="auto" w:fill="FFFFFF"/>
        </w:rPr>
        <w:t xml:space="preserve"> </w:t>
      </w:r>
      <w:r w:rsidR="00663871" w:rsidRPr="009C5A9E">
        <w:rPr>
          <w:rFonts w:cs="Arial"/>
          <w:szCs w:val="24"/>
          <w:shd w:val="clear" w:color="auto" w:fill="FFFFFF"/>
        </w:rPr>
        <w:t>acid, and primarily excreted in humans as steviol</w:t>
      </w:r>
      <w:r w:rsidR="00663871" w:rsidRPr="009C5A9E">
        <w:rPr>
          <w:rFonts w:cs="Arial"/>
          <w:sz w:val="19"/>
          <w:szCs w:val="19"/>
          <w:shd w:val="clear" w:color="auto" w:fill="FFFFFF"/>
        </w:rPr>
        <w:t xml:space="preserve"> </w:t>
      </w:r>
      <w:r w:rsidR="00663871" w:rsidRPr="009C5A9E">
        <w:rPr>
          <w:rFonts w:cs="Arial"/>
          <w:szCs w:val="24"/>
          <w:shd w:val="clear" w:color="auto" w:fill="FFFFFF"/>
        </w:rPr>
        <w:t xml:space="preserve">glucuronide via the </w:t>
      </w:r>
      <w:r w:rsidR="00663871" w:rsidRPr="009C5A9E">
        <w:rPr>
          <w:rStyle w:val="frontelement"/>
          <w:rFonts w:cs="Arial"/>
          <w:szCs w:val="24"/>
          <w:shd w:val="clear" w:color="auto" w:fill="FFFFFF"/>
        </w:rPr>
        <w:t xml:space="preserve">urine. </w:t>
      </w:r>
      <w:r w:rsidR="00C5234D" w:rsidRPr="009C5A9E">
        <w:rPr>
          <w:szCs w:val="24"/>
        </w:rPr>
        <w:t>The authors conclude</w:t>
      </w:r>
      <w:r w:rsidR="00350AB7" w:rsidRPr="009C5A9E">
        <w:rPr>
          <w:szCs w:val="24"/>
        </w:rPr>
        <w:t>d</w:t>
      </w:r>
      <w:r w:rsidR="00C5234D" w:rsidRPr="009C5A9E">
        <w:rPr>
          <w:szCs w:val="24"/>
        </w:rPr>
        <w:t xml:space="preserve"> that considering the extensive safety databases that have evolved over the years for these structurally unrelated sweeteners, there </w:t>
      </w:r>
      <w:r w:rsidR="002B538D" w:rsidRPr="009C5A9E">
        <w:rPr>
          <w:szCs w:val="24"/>
        </w:rPr>
        <w:t>was</w:t>
      </w:r>
      <w:r w:rsidR="00C5234D" w:rsidRPr="009C5A9E">
        <w:rPr>
          <w:szCs w:val="24"/>
        </w:rPr>
        <w:t xml:space="preserve"> little in the </w:t>
      </w:r>
      <w:r w:rsidR="00A011DF">
        <w:rPr>
          <w:szCs w:val="24"/>
        </w:rPr>
        <w:t>available studies of</w:t>
      </w:r>
      <w:r w:rsidR="00C5234D" w:rsidRPr="009C5A9E">
        <w:rPr>
          <w:szCs w:val="24"/>
        </w:rPr>
        <w:t xml:space="preserve"> the microbiome to suggest that they raise</w:t>
      </w:r>
      <w:r w:rsidR="00350AB7" w:rsidRPr="009C5A9E">
        <w:rPr>
          <w:szCs w:val="24"/>
        </w:rPr>
        <w:t>d</w:t>
      </w:r>
      <w:r w:rsidR="00C5234D" w:rsidRPr="009C5A9E">
        <w:rPr>
          <w:szCs w:val="24"/>
        </w:rPr>
        <w:t xml:space="preserve"> safety concerns at their currently applied levels.</w:t>
      </w:r>
    </w:p>
    <w:p w:rsidR="009C5A9E" w:rsidRDefault="009C5A9E" w:rsidP="00F40887">
      <w:pPr>
        <w:pStyle w:val="ListParagraph"/>
        <w:tabs>
          <w:tab w:val="left" w:pos="0"/>
        </w:tabs>
        <w:spacing w:before="240" w:line="240" w:lineRule="auto"/>
        <w:ind w:left="0"/>
      </w:pPr>
    </w:p>
    <w:p w:rsidR="00396130" w:rsidRDefault="00396130" w:rsidP="00F40887">
      <w:pPr>
        <w:pStyle w:val="ListParagraph"/>
        <w:tabs>
          <w:tab w:val="left" w:pos="0"/>
        </w:tabs>
        <w:spacing w:before="240" w:line="240" w:lineRule="auto"/>
        <w:ind w:left="0"/>
      </w:pPr>
    </w:p>
    <w:p w:rsidR="00396130" w:rsidRPr="00396130" w:rsidRDefault="00396130" w:rsidP="00396130">
      <w:pPr>
        <w:pStyle w:val="ListParagraph"/>
        <w:tabs>
          <w:tab w:val="left" w:pos="0"/>
        </w:tabs>
        <w:spacing w:before="240" w:line="240" w:lineRule="auto"/>
        <w:ind w:left="0"/>
        <w:rPr>
          <w:rStyle w:val="SubtleReference"/>
          <w:b/>
          <w:bCs/>
          <w:iCs/>
          <w:smallCaps w:val="0"/>
          <w:color w:val="auto"/>
        </w:rPr>
      </w:pPr>
      <w:r w:rsidRPr="00396130">
        <w:rPr>
          <w:rStyle w:val="SubtleReference"/>
          <w:b/>
          <w:bCs/>
          <w:iCs/>
          <w:smallCaps w:val="0"/>
          <w:color w:val="auto"/>
        </w:rPr>
        <w:t>Environmental Pollutants</w:t>
      </w:r>
      <w:r w:rsidR="003D18B5">
        <w:rPr>
          <w:rStyle w:val="SubtleReference"/>
          <w:b/>
          <w:bCs/>
          <w:iCs/>
          <w:smallCaps w:val="0"/>
          <w:color w:val="auto"/>
        </w:rPr>
        <w:t xml:space="preserve"> and Contaminants</w:t>
      </w:r>
    </w:p>
    <w:p w:rsidR="009C5A9E" w:rsidRPr="009C5A9E" w:rsidRDefault="009C5A9E" w:rsidP="00F40887">
      <w:pPr>
        <w:pStyle w:val="ListParagraph"/>
        <w:tabs>
          <w:tab w:val="left" w:pos="0"/>
        </w:tabs>
        <w:spacing w:before="240" w:line="240" w:lineRule="auto"/>
        <w:ind w:left="0"/>
      </w:pPr>
    </w:p>
    <w:p w:rsidR="00231C34" w:rsidRDefault="00231C34" w:rsidP="00F40887">
      <w:pPr>
        <w:pStyle w:val="ListParagraph"/>
        <w:numPr>
          <w:ilvl w:val="2"/>
          <w:numId w:val="1"/>
        </w:numPr>
        <w:tabs>
          <w:tab w:val="left" w:pos="0"/>
        </w:tabs>
        <w:spacing w:before="240" w:line="240" w:lineRule="auto"/>
        <w:ind w:left="0" w:firstLine="0"/>
      </w:pPr>
      <w:r w:rsidRPr="00231C34">
        <w:t>The environment contains a rich variety of chemical entities that may enter the digestive tract and have toxicological consequences either directly or by affecting the composition and/ or functioning of commensal organisms.</w:t>
      </w:r>
    </w:p>
    <w:p w:rsidR="00231C34" w:rsidRDefault="00231C34" w:rsidP="003738AC">
      <w:pPr>
        <w:pStyle w:val="ListParagraph"/>
        <w:tabs>
          <w:tab w:val="left" w:pos="0"/>
        </w:tabs>
        <w:spacing w:before="240" w:line="240" w:lineRule="auto"/>
        <w:ind w:left="0"/>
      </w:pPr>
    </w:p>
    <w:p w:rsidR="00231C34" w:rsidRDefault="00231C34" w:rsidP="00231C34">
      <w:pPr>
        <w:pStyle w:val="ListParagraph"/>
        <w:numPr>
          <w:ilvl w:val="2"/>
          <w:numId w:val="1"/>
        </w:numPr>
        <w:tabs>
          <w:tab w:val="left" w:pos="0"/>
        </w:tabs>
        <w:spacing w:before="240" w:line="240" w:lineRule="auto"/>
        <w:ind w:left="0" w:firstLine="0"/>
        <w:rPr>
          <w:rStyle w:val="SubtleReference"/>
          <w:smallCaps w:val="0"/>
          <w:color w:val="auto"/>
        </w:rPr>
      </w:pPr>
      <w:r w:rsidRPr="009C5A9E">
        <w:rPr>
          <w:rStyle w:val="SubtleReference"/>
          <w:smallCaps w:val="0"/>
          <w:color w:val="auto"/>
        </w:rPr>
        <w:t xml:space="preserve">Claus </w:t>
      </w:r>
      <w:r w:rsidRPr="009C5A9E">
        <w:rPr>
          <w:rStyle w:val="SubtleReference"/>
          <w:i/>
          <w:smallCaps w:val="0"/>
          <w:color w:val="auto"/>
        </w:rPr>
        <w:t xml:space="preserve">et al </w:t>
      </w:r>
      <w:r w:rsidRPr="009C5A9E">
        <w:rPr>
          <w:rStyle w:val="SubtleReference"/>
          <w:smallCaps w:val="0"/>
          <w:color w:val="auto"/>
        </w:rPr>
        <w:t xml:space="preserve">(2016) reviewed the involvement of the gut microbiota in the toxicity of environmental chemicals. For example, the microbiota are capable of oxidising the widespread environmental pollutant benzo[a]pyrene (BaP) to its </w:t>
      </w:r>
      <w:r>
        <w:rPr>
          <w:rStyle w:val="SubtleReference"/>
          <w:smallCaps w:val="0"/>
          <w:color w:val="auto"/>
        </w:rPr>
        <w:t>oestrogenic</w:t>
      </w:r>
      <w:r w:rsidRPr="009C5A9E">
        <w:rPr>
          <w:rStyle w:val="SubtleReference"/>
          <w:smallCaps w:val="0"/>
          <w:color w:val="auto"/>
        </w:rPr>
        <w:t xml:space="preserve"> 7-hydroxy derivative and </w:t>
      </w:r>
      <w:r>
        <w:rPr>
          <w:rStyle w:val="SubtleReference"/>
          <w:smallCaps w:val="0"/>
          <w:color w:val="auto"/>
        </w:rPr>
        <w:t xml:space="preserve">can </w:t>
      </w:r>
      <w:r w:rsidRPr="009C5A9E">
        <w:rPr>
          <w:rStyle w:val="SubtleReference"/>
          <w:smallCaps w:val="0"/>
          <w:color w:val="auto"/>
        </w:rPr>
        <w:t>deconjugate the hepatic product of phase 2 metabolism of BaP back to the parent compound. PCBs can be methylsul</w:t>
      </w:r>
      <w:r>
        <w:rPr>
          <w:rStyle w:val="SubtleReference"/>
          <w:smallCaps w:val="0"/>
          <w:color w:val="auto"/>
        </w:rPr>
        <w:t>f</w:t>
      </w:r>
      <w:r w:rsidRPr="009C5A9E">
        <w:rPr>
          <w:rStyle w:val="SubtleReference"/>
          <w:smallCaps w:val="0"/>
          <w:color w:val="auto"/>
        </w:rPr>
        <w:t>onated by gut bacteria to products that are implicated in lung dysfunction, azo dyes such as Sudan 1 can be cleaved into potentially carcinogenic aromatic amines and melamine can be oxidatively deaminated to cyanuric acid, which may cause nephrotoxicity. This is in addition to the development of dysbiosis induced by the toxicity of the ingested chemical.</w:t>
      </w:r>
    </w:p>
    <w:p w:rsidR="00231C34" w:rsidRDefault="00231C34" w:rsidP="00231C34">
      <w:pPr>
        <w:pStyle w:val="ListParagraph"/>
        <w:tabs>
          <w:tab w:val="left" w:pos="0"/>
        </w:tabs>
        <w:spacing w:before="240" w:line="240" w:lineRule="auto"/>
        <w:ind w:left="0"/>
        <w:rPr>
          <w:rStyle w:val="SubtleReference"/>
          <w:smallCaps w:val="0"/>
          <w:color w:val="auto"/>
        </w:rPr>
      </w:pPr>
    </w:p>
    <w:p w:rsidR="00231C34" w:rsidRDefault="00231C34" w:rsidP="00231C34">
      <w:pPr>
        <w:pStyle w:val="ListParagraph"/>
        <w:numPr>
          <w:ilvl w:val="2"/>
          <w:numId w:val="1"/>
        </w:numPr>
        <w:tabs>
          <w:tab w:val="left" w:pos="0"/>
        </w:tabs>
        <w:spacing w:before="240" w:line="240" w:lineRule="auto"/>
        <w:ind w:left="0" w:firstLine="0"/>
        <w:rPr>
          <w:rStyle w:val="SubtleReference"/>
          <w:smallCaps w:val="0"/>
          <w:color w:val="auto"/>
        </w:rPr>
      </w:pPr>
      <w:r w:rsidRPr="009C5A9E">
        <w:rPr>
          <w:rStyle w:val="SubtleReference"/>
          <w:smallCaps w:val="0"/>
          <w:color w:val="auto"/>
        </w:rPr>
        <w:t>Snedeker and Hay (2012) reviewed evidence for the contribution of gut microbiota and environmental chemicals in the development of obesity and diabetes. They pointed out the associations that have been reported between gut dysbiosis in obese and diabetic individuals and the possible correlation between exposure to various pollutants, such as heavy metals, insecticides, and putative oestrogenic chemicals and suggested that the interaction was a subject to which resources should be applied.</w:t>
      </w:r>
    </w:p>
    <w:p w:rsidR="00231C34" w:rsidRPr="00231C34" w:rsidRDefault="00231C34" w:rsidP="003738AC">
      <w:pPr>
        <w:pStyle w:val="ListParagraph"/>
        <w:tabs>
          <w:tab w:val="left" w:pos="0"/>
        </w:tabs>
        <w:spacing w:before="240" w:line="240" w:lineRule="auto"/>
        <w:ind w:left="0"/>
      </w:pPr>
    </w:p>
    <w:p w:rsidR="00E90605" w:rsidRPr="009C5A9E" w:rsidRDefault="00370F55" w:rsidP="00F40887">
      <w:pPr>
        <w:pStyle w:val="ListParagraph"/>
        <w:numPr>
          <w:ilvl w:val="2"/>
          <w:numId w:val="1"/>
        </w:numPr>
        <w:tabs>
          <w:tab w:val="left" w:pos="0"/>
        </w:tabs>
        <w:spacing w:before="240" w:line="240" w:lineRule="auto"/>
        <w:ind w:left="0" w:firstLine="0"/>
      </w:pPr>
      <w:r w:rsidRPr="009C5A9E">
        <w:rPr>
          <w:szCs w:val="24"/>
        </w:rPr>
        <w:t xml:space="preserve">Saint-Cyr </w:t>
      </w:r>
      <w:r w:rsidRPr="009C5A9E">
        <w:rPr>
          <w:i/>
          <w:szCs w:val="24"/>
        </w:rPr>
        <w:t>et al</w:t>
      </w:r>
      <w:r w:rsidRPr="009C5A9E">
        <w:rPr>
          <w:szCs w:val="24"/>
        </w:rPr>
        <w:t xml:space="preserve"> (2013) </w:t>
      </w:r>
      <w:r w:rsidR="00AF7E15">
        <w:rPr>
          <w:szCs w:val="24"/>
        </w:rPr>
        <w:t>a</w:t>
      </w:r>
      <w:r w:rsidRPr="009C5A9E">
        <w:rPr>
          <w:szCs w:val="24"/>
        </w:rPr>
        <w:t xml:space="preserve">ssessed the effects of No-Observed-Adverse Effect-Level doses of </w:t>
      </w:r>
      <w:r w:rsidR="003D18B5">
        <w:rPr>
          <w:szCs w:val="24"/>
        </w:rPr>
        <w:t xml:space="preserve">the mycotoxin </w:t>
      </w:r>
      <w:r w:rsidRPr="009C5A9E">
        <w:rPr>
          <w:szCs w:val="24"/>
        </w:rPr>
        <w:t>deoxynivalenol (DON) on human gut flora transplanted into germ-free male Sprague Dawley rats</w:t>
      </w:r>
      <w:r w:rsidR="00983206" w:rsidRPr="009C5A9E">
        <w:rPr>
          <w:szCs w:val="24"/>
        </w:rPr>
        <w:t xml:space="preserve">. </w:t>
      </w:r>
      <w:r w:rsidR="00D06AEE">
        <w:t xml:space="preserve">The NOAEL established for DON was 100 </w:t>
      </w:r>
      <w:r w:rsidR="00D06AEE" w:rsidRPr="003738AC">
        <w:rPr>
          <w:rFonts w:ascii="Symbol" w:hAnsi="Symbol"/>
        </w:rPr>
        <w:t></w:t>
      </w:r>
      <w:r w:rsidR="00D06AEE">
        <w:t>g/kg bw</w:t>
      </w:r>
      <w:r w:rsidR="00231C34">
        <w:t xml:space="preserve"> per day</w:t>
      </w:r>
      <w:r w:rsidR="004A394A">
        <w:t xml:space="preserve">, </w:t>
      </w:r>
      <w:r w:rsidR="00D06AEE">
        <w:t xml:space="preserve"> based on a decrease body weight gain reported in a 2-year feeding study in mice</w:t>
      </w:r>
      <w:r w:rsidR="004A394A">
        <w:t>.</w:t>
      </w:r>
      <w:r w:rsidR="00D06AEE">
        <w:t xml:space="preserve"> </w:t>
      </w:r>
      <w:r w:rsidR="00983206" w:rsidRPr="009C5A9E">
        <w:rPr>
          <w:szCs w:val="24"/>
        </w:rPr>
        <w:t xml:space="preserve">After allowing the faecal transplants 2 weeks to stabilise, rats were administered DON at 100 </w:t>
      </w:r>
      <w:r w:rsidR="00983206" w:rsidRPr="009C5A9E">
        <w:rPr>
          <w:rFonts w:ascii="Symbol" w:hAnsi="Symbol"/>
          <w:szCs w:val="24"/>
        </w:rPr>
        <w:t></w:t>
      </w:r>
      <w:r w:rsidR="00983206" w:rsidRPr="009C5A9E">
        <w:rPr>
          <w:szCs w:val="24"/>
        </w:rPr>
        <w:t xml:space="preserve">g/kg bw </w:t>
      </w:r>
      <w:r w:rsidR="00231C34">
        <w:rPr>
          <w:szCs w:val="24"/>
        </w:rPr>
        <w:t xml:space="preserve">per day </w:t>
      </w:r>
      <w:r w:rsidR="00983206" w:rsidRPr="009C5A9E">
        <w:rPr>
          <w:szCs w:val="24"/>
        </w:rPr>
        <w:t>by gavage for 4 weeks. Faecal samples were collected weekly up to day 27 and then on day 37</w:t>
      </w:r>
      <w:r w:rsidR="00231C34">
        <w:rPr>
          <w:szCs w:val="24"/>
        </w:rPr>
        <w:t>, 10 days after stopping treatment,</w:t>
      </w:r>
      <w:r w:rsidR="00983206" w:rsidRPr="009C5A9E">
        <w:rPr>
          <w:szCs w:val="24"/>
        </w:rPr>
        <w:t xml:space="preserve"> and frozen until analysis.</w:t>
      </w:r>
      <w:r w:rsidR="00521918" w:rsidRPr="009C5A9E">
        <w:rPr>
          <w:szCs w:val="24"/>
        </w:rPr>
        <w:t xml:space="preserve"> DON exposure increased the titre of the </w:t>
      </w:r>
      <w:r w:rsidR="008D021F" w:rsidRPr="009C5A9E">
        <w:rPr>
          <w:i/>
          <w:szCs w:val="24"/>
        </w:rPr>
        <w:t>B</w:t>
      </w:r>
      <w:r w:rsidR="00521918" w:rsidRPr="009C5A9E">
        <w:rPr>
          <w:i/>
          <w:szCs w:val="24"/>
        </w:rPr>
        <w:t>acteroides/Prevotella</w:t>
      </w:r>
      <w:r w:rsidR="00521918" w:rsidRPr="009C5A9E">
        <w:rPr>
          <w:szCs w:val="24"/>
        </w:rPr>
        <w:t xml:space="preserve"> group of organism</w:t>
      </w:r>
      <w:r w:rsidR="0010521D" w:rsidRPr="009C5A9E">
        <w:rPr>
          <w:szCs w:val="24"/>
        </w:rPr>
        <w:t>s</w:t>
      </w:r>
      <w:r w:rsidR="00521918" w:rsidRPr="009C5A9E">
        <w:rPr>
          <w:szCs w:val="24"/>
        </w:rPr>
        <w:t xml:space="preserve"> during dosing</w:t>
      </w:r>
      <w:r w:rsidR="0010521D" w:rsidRPr="009C5A9E">
        <w:rPr>
          <w:szCs w:val="24"/>
        </w:rPr>
        <w:t xml:space="preserve"> (p&lt; 0.01),</w:t>
      </w:r>
      <w:r w:rsidR="00521918" w:rsidRPr="009C5A9E">
        <w:rPr>
          <w:szCs w:val="24"/>
        </w:rPr>
        <w:t xml:space="preserve"> but this declined to control levels before the end of the experiment. The</w:t>
      </w:r>
      <w:r w:rsidR="00521918" w:rsidRPr="009C5A9E">
        <w:rPr>
          <w:i/>
          <w:szCs w:val="24"/>
        </w:rPr>
        <w:t xml:space="preserve"> Bifidobacteria</w:t>
      </w:r>
      <w:r w:rsidR="00521918" w:rsidRPr="009C5A9E">
        <w:rPr>
          <w:szCs w:val="24"/>
        </w:rPr>
        <w:t xml:space="preserve">, </w:t>
      </w:r>
      <w:r w:rsidR="00521918" w:rsidRPr="009C5A9E">
        <w:rPr>
          <w:i/>
          <w:szCs w:val="24"/>
        </w:rPr>
        <w:t>Clostridium leptum</w:t>
      </w:r>
      <w:r w:rsidR="00521918" w:rsidRPr="009C5A9E">
        <w:rPr>
          <w:szCs w:val="24"/>
        </w:rPr>
        <w:t xml:space="preserve"> group and the </w:t>
      </w:r>
      <w:r w:rsidR="00521918" w:rsidRPr="009C5A9E">
        <w:rPr>
          <w:i/>
          <w:szCs w:val="24"/>
        </w:rPr>
        <w:t>Lactobacillus/Leuconostoc/Pedococcus</w:t>
      </w:r>
      <w:r w:rsidR="00521918" w:rsidRPr="009C5A9E">
        <w:rPr>
          <w:szCs w:val="24"/>
        </w:rPr>
        <w:t xml:space="preserve"> group were unaffected by DON but </w:t>
      </w:r>
      <w:r w:rsidR="00521918" w:rsidRPr="009C5A9E">
        <w:rPr>
          <w:i/>
          <w:szCs w:val="24"/>
        </w:rPr>
        <w:t>E.coli</w:t>
      </w:r>
      <w:r w:rsidR="00521918" w:rsidRPr="009C5A9E">
        <w:rPr>
          <w:szCs w:val="24"/>
        </w:rPr>
        <w:t xml:space="preserve"> was significantly reduced (p&lt; 0.01)</w:t>
      </w:r>
      <w:r w:rsidR="00D2118F" w:rsidRPr="009C5A9E">
        <w:rPr>
          <w:szCs w:val="24"/>
        </w:rPr>
        <w:t xml:space="preserve"> </w:t>
      </w:r>
      <w:r w:rsidR="00521918" w:rsidRPr="009C5A9E">
        <w:rPr>
          <w:szCs w:val="24"/>
        </w:rPr>
        <w:t>and this reduction persisted until the end of the experiment.</w:t>
      </w:r>
      <w:r w:rsidR="0010521D" w:rsidRPr="009C5A9E">
        <w:rPr>
          <w:szCs w:val="24"/>
        </w:rPr>
        <w:t xml:space="preserve"> The authors suggested </w:t>
      </w:r>
      <w:r w:rsidR="002F1169">
        <w:t>that the investigation of the influence of low concentration</w:t>
      </w:r>
      <w:r w:rsidR="00231C34">
        <w:t>s</w:t>
      </w:r>
      <w:r w:rsidR="002F1169">
        <w:t xml:space="preserve"> of mycotoxins on human gut microbiota </w:t>
      </w:r>
      <w:r w:rsidR="004D51FD">
        <w:t>should be</w:t>
      </w:r>
      <w:r w:rsidR="002F1169">
        <w:t xml:space="preserve"> a part of the risk assessment process.</w:t>
      </w:r>
    </w:p>
    <w:p w:rsidR="009C5A9E" w:rsidRDefault="009C5A9E" w:rsidP="00F40887">
      <w:pPr>
        <w:pStyle w:val="ListParagraph"/>
        <w:tabs>
          <w:tab w:val="left" w:pos="0"/>
        </w:tabs>
        <w:spacing w:before="240" w:line="240" w:lineRule="auto"/>
        <w:ind w:left="0"/>
      </w:pPr>
    </w:p>
    <w:p w:rsidR="009F01AD" w:rsidRDefault="009F01AD" w:rsidP="00F40887">
      <w:pPr>
        <w:pStyle w:val="ListParagraph"/>
        <w:numPr>
          <w:ilvl w:val="2"/>
          <w:numId w:val="1"/>
        </w:numPr>
        <w:tabs>
          <w:tab w:val="left" w:pos="0"/>
        </w:tabs>
        <w:spacing w:before="240" w:line="240" w:lineRule="auto"/>
        <w:ind w:left="0" w:firstLine="0"/>
        <w:rPr>
          <w:rStyle w:val="SubtleReference"/>
          <w:smallCaps w:val="0"/>
          <w:color w:val="auto"/>
        </w:rPr>
      </w:pPr>
      <w:r w:rsidRPr="009C5A9E">
        <w:rPr>
          <w:rStyle w:val="SubtleReference"/>
          <w:smallCaps w:val="0"/>
          <w:color w:val="auto"/>
        </w:rPr>
        <w:t>Inhaled PM2.5 and PM10 particles from natural (</w:t>
      </w:r>
      <w:r w:rsidR="00231C34">
        <w:rPr>
          <w:rStyle w:val="SubtleReference"/>
          <w:smallCaps w:val="0"/>
          <w:color w:val="auto"/>
        </w:rPr>
        <w:t xml:space="preserve">e.g. </w:t>
      </w:r>
      <w:r w:rsidRPr="009C5A9E">
        <w:rPr>
          <w:rStyle w:val="SubtleReference"/>
          <w:smallCaps w:val="0"/>
          <w:color w:val="auto"/>
        </w:rPr>
        <w:t>forest fires, volcanoes) and man-made (</w:t>
      </w:r>
      <w:r w:rsidR="00231C34">
        <w:rPr>
          <w:rStyle w:val="SubtleReference"/>
          <w:smallCaps w:val="0"/>
          <w:color w:val="auto"/>
        </w:rPr>
        <w:t xml:space="preserve">e.g. </w:t>
      </w:r>
      <w:r w:rsidRPr="009C5A9E">
        <w:rPr>
          <w:rStyle w:val="SubtleReference"/>
          <w:smallCaps w:val="0"/>
          <w:color w:val="auto"/>
        </w:rPr>
        <w:t>vehicle exhausts</w:t>
      </w:r>
      <w:r w:rsidR="00231C34">
        <w:rPr>
          <w:rStyle w:val="SubtleReference"/>
          <w:smallCaps w:val="0"/>
          <w:color w:val="auto"/>
        </w:rPr>
        <w:t>,</w:t>
      </w:r>
      <w:r w:rsidRPr="009C5A9E">
        <w:rPr>
          <w:rStyle w:val="SubtleReference"/>
          <w:smallCaps w:val="0"/>
          <w:color w:val="auto"/>
        </w:rPr>
        <w:t xml:space="preserve"> smoking) may be delivered to the digestive tract from the lungs by the action of the mucociliary escalator system in the trachea. (Salim </w:t>
      </w:r>
      <w:r w:rsidRPr="009C5A9E">
        <w:rPr>
          <w:rStyle w:val="SubtleReference"/>
          <w:i/>
          <w:smallCaps w:val="0"/>
          <w:color w:val="auto"/>
        </w:rPr>
        <w:t>et al</w:t>
      </w:r>
      <w:r w:rsidRPr="009C5A9E">
        <w:rPr>
          <w:rStyle w:val="SubtleReference"/>
          <w:smallCaps w:val="0"/>
          <w:color w:val="auto"/>
        </w:rPr>
        <w:t xml:space="preserve"> 2013). </w:t>
      </w:r>
      <w:r w:rsidR="004A394A">
        <w:rPr>
          <w:rStyle w:val="SubtleReference"/>
          <w:smallCaps w:val="0"/>
          <w:color w:val="auto"/>
        </w:rPr>
        <w:t>This is, however, likely to be a minor route of GI exposure to xenobiotics.</w:t>
      </w:r>
    </w:p>
    <w:p w:rsidR="00297A36" w:rsidRDefault="00297A36" w:rsidP="00297A36">
      <w:pPr>
        <w:pStyle w:val="ListParagraph"/>
        <w:tabs>
          <w:tab w:val="left" w:pos="0"/>
        </w:tabs>
        <w:spacing w:before="240" w:line="240" w:lineRule="auto"/>
        <w:ind w:left="0"/>
        <w:rPr>
          <w:rStyle w:val="SubtleReference"/>
          <w:smallCaps w:val="0"/>
          <w:color w:val="auto"/>
        </w:rPr>
      </w:pPr>
    </w:p>
    <w:p w:rsidR="009C5A9E" w:rsidRPr="009C5A9E" w:rsidRDefault="009C5A9E" w:rsidP="00F40887">
      <w:pPr>
        <w:pStyle w:val="ListParagraph"/>
        <w:rPr>
          <w:rStyle w:val="SubtleReference"/>
          <w:smallCaps w:val="0"/>
          <w:color w:val="auto"/>
        </w:rPr>
      </w:pPr>
    </w:p>
    <w:p w:rsidR="009F01AD" w:rsidRDefault="009F01AD" w:rsidP="00F40887">
      <w:pPr>
        <w:pStyle w:val="ListParagraph"/>
        <w:numPr>
          <w:ilvl w:val="2"/>
          <w:numId w:val="1"/>
        </w:numPr>
        <w:tabs>
          <w:tab w:val="left" w:pos="0"/>
        </w:tabs>
        <w:spacing w:before="240" w:line="240" w:lineRule="auto"/>
        <w:ind w:left="0" w:firstLine="0"/>
        <w:rPr>
          <w:rStyle w:val="SubtleReference"/>
          <w:smallCaps w:val="0"/>
          <w:color w:val="auto"/>
        </w:rPr>
      </w:pPr>
      <w:r w:rsidRPr="009C5A9E">
        <w:rPr>
          <w:rStyle w:val="SubtleReference"/>
          <w:smallCaps w:val="0"/>
          <w:color w:val="auto"/>
        </w:rPr>
        <w:t xml:space="preserve">Defois </w:t>
      </w:r>
      <w:r w:rsidRPr="009C5A9E">
        <w:rPr>
          <w:rStyle w:val="SubtleReference"/>
          <w:i/>
          <w:smallCaps w:val="0"/>
          <w:color w:val="auto"/>
        </w:rPr>
        <w:t xml:space="preserve">et al </w:t>
      </w:r>
      <w:r w:rsidRPr="009C5A9E">
        <w:rPr>
          <w:rStyle w:val="SubtleReference"/>
          <w:smallCaps w:val="0"/>
          <w:color w:val="auto"/>
        </w:rPr>
        <w:t xml:space="preserve">(2017) investigated the effect of BaP on the microbiota in samples of human faeces </w:t>
      </w:r>
      <w:r w:rsidRPr="009C5A9E">
        <w:rPr>
          <w:rStyle w:val="SubtleReference"/>
          <w:i/>
          <w:smallCaps w:val="0"/>
          <w:color w:val="auto"/>
        </w:rPr>
        <w:t>in vitro</w:t>
      </w:r>
      <w:r w:rsidRPr="009C5A9E">
        <w:rPr>
          <w:rStyle w:val="SubtleReference"/>
          <w:smallCaps w:val="0"/>
          <w:color w:val="auto"/>
        </w:rPr>
        <w:t>. Samples from two donors were incubated with BaP in sunflower oil at 0.005, 0.05, and 0.5 mg/l. The composition of the microbiota was determined by 16S-rRNA gene sequencing and a range of volatile compounds produced by the bacteria (the “volatolome”) was assayed using solid-phase extraction coupled with GC-MS. No significant changes were observed in the microbiota at the phylum level with only minor changes at the family level as a result of BaP treatment, but the baseline composition differed between the two donors. Seven volatile products were detected by the GC-MS system and tentatively identified from the literature of internal data, with a seventh of unknown identity. All detected compounds were significantly changed in level by at least 0.5 mg/l BaP with some (benzaldehyde and 2-methylphenol) showing significant increases and others (such as 2-hexylfuran and butylbutanoate) showing significant decreases. After 24 hours of incubation a wide range of metabolic pathway genes were upregulated by 0.5 mg/l BaP in both samples (21 in sample1, 31 in sample 2) but only 3 in each sample, different in each, were downregulated. The authors considered that the microbiota were adapting to the presence of the BaP and in doing so their change in metabolism could have down-stream effects on the gut and host health</w:t>
      </w:r>
      <w:r w:rsidR="00527C99" w:rsidRPr="009C5A9E">
        <w:rPr>
          <w:rStyle w:val="SubtleReference"/>
          <w:smallCaps w:val="0"/>
          <w:color w:val="auto"/>
        </w:rPr>
        <w:t>.</w:t>
      </w:r>
    </w:p>
    <w:p w:rsidR="009C5A9E" w:rsidRDefault="009C5A9E" w:rsidP="00F40887">
      <w:pPr>
        <w:pStyle w:val="ListParagraph"/>
        <w:tabs>
          <w:tab w:val="left" w:pos="0"/>
        </w:tabs>
        <w:spacing w:before="240" w:line="240" w:lineRule="auto"/>
        <w:ind w:left="0"/>
        <w:rPr>
          <w:rStyle w:val="SubtleReference"/>
          <w:smallCaps w:val="0"/>
          <w:color w:val="auto"/>
        </w:rPr>
      </w:pPr>
    </w:p>
    <w:p w:rsidR="002254C0" w:rsidRPr="009C5A9E" w:rsidRDefault="002254C0" w:rsidP="00F40887">
      <w:pPr>
        <w:pStyle w:val="ListParagraph"/>
        <w:numPr>
          <w:ilvl w:val="2"/>
          <w:numId w:val="1"/>
        </w:numPr>
        <w:tabs>
          <w:tab w:val="left" w:pos="0"/>
        </w:tabs>
        <w:spacing w:before="240" w:line="240" w:lineRule="auto"/>
        <w:ind w:left="0" w:firstLine="0"/>
        <w:rPr>
          <w:rStyle w:val="SubtleReference"/>
          <w:smallCaps w:val="0"/>
          <w:color w:val="auto"/>
        </w:rPr>
      </w:pPr>
      <w:r w:rsidRPr="009C5A9E">
        <w:rPr>
          <w:rStyle w:val="SubtleReference"/>
          <w:smallCaps w:val="0"/>
          <w:color w:val="auto"/>
          <w:szCs w:val="24"/>
        </w:rPr>
        <w:t xml:space="preserve">Defois </w:t>
      </w:r>
      <w:r w:rsidRPr="009C5A9E">
        <w:rPr>
          <w:rStyle w:val="SubtleReference"/>
          <w:i/>
          <w:smallCaps w:val="0"/>
          <w:color w:val="auto"/>
          <w:szCs w:val="24"/>
        </w:rPr>
        <w:t xml:space="preserve">et al </w:t>
      </w:r>
      <w:r w:rsidRPr="009C5A9E">
        <w:rPr>
          <w:rStyle w:val="SubtleReference"/>
          <w:smallCaps w:val="0"/>
          <w:color w:val="auto"/>
          <w:szCs w:val="24"/>
        </w:rPr>
        <w:t xml:space="preserve">(2018) studied the effect of a range of environmental pollutants (TCDD, PhIP, </w:t>
      </w:r>
      <w:r w:rsidRPr="009C5A9E">
        <w:rPr>
          <w:rStyle w:val="SubtleReference"/>
          <w:rFonts w:ascii="Symbol" w:hAnsi="Symbol"/>
          <w:smallCaps w:val="0"/>
          <w:color w:val="auto"/>
          <w:szCs w:val="24"/>
        </w:rPr>
        <w:t></w:t>
      </w:r>
      <w:r w:rsidRPr="009C5A9E">
        <w:rPr>
          <w:rStyle w:val="SubtleReference"/>
          <w:smallCaps w:val="0"/>
          <w:color w:val="auto"/>
          <w:szCs w:val="24"/>
        </w:rPr>
        <w:t xml:space="preserve"> and </w:t>
      </w:r>
      <w:r w:rsidRPr="009C5A9E">
        <w:rPr>
          <w:rStyle w:val="SubtleReference"/>
          <w:rFonts w:ascii="Symbol" w:hAnsi="Symbol"/>
          <w:smallCaps w:val="0"/>
          <w:color w:val="auto"/>
          <w:szCs w:val="24"/>
        </w:rPr>
        <w:t></w:t>
      </w:r>
      <w:r w:rsidRPr="009C5A9E">
        <w:rPr>
          <w:rStyle w:val="SubtleReference"/>
          <w:smallCaps w:val="0"/>
          <w:color w:val="auto"/>
          <w:szCs w:val="24"/>
        </w:rPr>
        <w:t xml:space="preserve"> HBCDD, BaP, deltamethrin and a mixture of PAHs) on the gut microbiota </w:t>
      </w:r>
      <w:r w:rsidR="00261586" w:rsidRPr="009C5A9E">
        <w:rPr>
          <w:rStyle w:val="SubtleReference"/>
          <w:smallCaps w:val="0"/>
          <w:color w:val="auto"/>
          <w:szCs w:val="24"/>
        </w:rPr>
        <w:t xml:space="preserve">from a human volunteer </w:t>
      </w:r>
      <w:r w:rsidRPr="009C5A9E">
        <w:rPr>
          <w:rStyle w:val="SubtleReference"/>
          <w:i/>
          <w:smallCaps w:val="0"/>
          <w:color w:val="auto"/>
          <w:szCs w:val="24"/>
        </w:rPr>
        <w:t>in vitro</w:t>
      </w:r>
      <w:r w:rsidRPr="009C5A9E">
        <w:rPr>
          <w:rStyle w:val="SubtleReference"/>
          <w:smallCaps w:val="0"/>
          <w:color w:val="auto"/>
          <w:szCs w:val="24"/>
        </w:rPr>
        <w:t>.</w:t>
      </w:r>
      <w:r w:rsidR="00261586" w:rsidRPr="009C5A9E">
        <w:rPr>
          <w:rStyle w:val="SubtleReference"/>
          <w:smallCaps w:val="0"/>
          <w:color w:val="auto"/>
          <w:szCs w:val="24"/>
        </w:rPr>
        <w:t xml:space="preserve"> The compounds were tested at 0.005, 0.90, 2.60, 5, 21 and 38 </w:t>
      </w:r>
      <w:r w:rsidR="00261586" w:rsidRPr="009C5A9E">
        <w:rPr>
          <w:rStyle w:val="SubtleReference"/>
          <w:rFonts w:ascii="Symbol" w:hAnsi="Symbol"/>
          <w:smallCaps w:val="0"/>
          <w:color w:val="auto"/>
          <w:szCs w:val="24"/>
        </w:rPr>
        <w:t></w:t>
      </w:r>
      <w:r w:rsidR="00261586" w:rsidRPr="009C5A9E">
        <w:rPr>
          <w:rStyle w:val="SubtleReference"/>
          <w:smallCaps w:val="0"/>
          <w:color w:val="auto"/>
          <w:szCs w:val="24"/>
        </w:rPr>
        <w:t xml:space="preserve">g/l. Of the volatile microbial products assayed, 5, 2, 7 </w:t>
      </w:r>
      <w:r w:rsidR="00297A36" w:rsidRPr="009C5A9E">
        <w:rPr>
          <w:rStyle w:val="SubtleReference"/>
          <w:smallCaps w:val="0"/>
          <w:color w:val="auto"/>
          <w:szCs w:val="24"/>
        </w:rPr>
        <w:t>and 4</w:t>
      </w:r>
      <w:r w:rsidR="00E5321B" w:rsidRPr="009C5A9E">
        <w:rPr>
          <w:rStyle w:val="SubtleReference"/>
          <w:smallCaps w:val="0"/>
          <w:color w:val="auto"/>
          <w:szCs w:val="24"/>
        </w:rPr>
        <w:t xml:space="preserve"> of them </w:t>
      </w:r>
      <w:r w:rsidR="00261586" w:rsidRPr="009C5A9E">
        <w:rPr>
          <w:rStyle w:val="SubtleReference"/>
          <w:smallCaps w:val="0"/>
          <w:color w:val="auto"/>
          <w:szCs w:val="24"/>
        </w:rPr>
        <w:t>were significantly altered in concentration by deltamethrin, PhIP, TCDD and the PA</w:t>
      </w:r>
      <w:r w:rsidR="00736C94">
        <w:rPr>
          <w:rStyle w:val="SubtleReference"/>
          <w:smallCaps w:val="0"/>
          <w:color w:val="auto"/>
          <w:szCs w:val="24"/>
        </w:rPr>
        <w:t>H</w:t>
      </w:r>
      <w:r w:rsidR="00261586" w:rsidRPr="009C5A9E">
        <w:rPr>
          <w:rStyle w:val="SubtleReference"/>
          <w:smallCaps w:val="0"/>
          <w:color w:val="auto"/>
          <w:szCs w:val="24"/>
        </w:rPr>
        <w:t>s, respectively.</w:t>
      </w:r>
      <w:r w:rsidR="00010BC9" w:rsidRPr="009C5A9E">
        <w:rPr>
          <w:rStyle w:val="SubtleReference"/>
          <w:smallCaps w:val="0"/>
          <w:color w:val="auto"/>
          <w:szCs w:val="24"/>
        </w:rPr>
        <w:t xml:space="preserve"> These included ketones, xylenes and phenols. BaP and PAH </w:t>
      </w:r>
      <w:r w:rsidR="00736C94">
        <w:rPr>
          <w:rStyle w:val="SubtleReference"/>
          <w:smallCaps w:val="0"/>
          <w:color w:val="auto"/>
          <w:szCs w:val="24"/>
        </w:rPr>
        <w:t xml:space="preserve">mixture </w:t>
      </w:r>
      <w:r w:rsidR="00010BC9" w:rsidRPr="009C5A9E">
        <w:rPr>
          <w:rStyle w:val="SubtleReference"/>
          <w:smallCaps w:val="0"/>
          <w:color w:val="auto"/>
          <w:szCs w:val="24"/>
        </w:rPr>
        <w:t>exposure in total up-regulated 613 genes and down-regulated 419 genes.</w:t>
      </w:r>
    </w:p>
    <w:p w:rsidR="009C5A9E" w:rsidRPr="009C5A9E" w:rsidRDefault="009C5A9E" w:rsidP="00F40887">
      <w:pPr>
        <w:pStyle w:val="ListParagraph"/>
        <w:rPr>
          <w:rStyle w:val="SubtleReference"/>
          <w:smallCaps w:val="0"/>
          <w:color w:val="auto"/>
        </w:rPr>
      </w:pPr>
    </w:p>
    <w:p w:rsidR="0087522D" w:rsidRDefault="00E94DDD" w:rsidP="00F40887">
      <w:pPr>
        <w:pStyle w:val="ListParagraph"/>
        <w:numPr>
          <w:ilvl w:val="2"/>
          <w:numId w:val="1"/>
        </w:numPr>
        <w:tabs>
          <w:tab w:val="left" w:pos="0"/>
        </w:tabs>
        <w:spacing w:before="240" w:line="240" w:lineRule="auto"/>
        <w:ind w:left="0" w:firstLine="0"/>
        <w:rPr>
          <w:rStyle w:val="SubtleReference"/>
          <w:smallCaps w:val="0"/>
          <w:color w:val="auto"/>
        </w:rPr>
      </w:pPr>
      <w:r w:rsidRPr="009C5A9E">
        <w:rPr>
          <w:rStyle w:val="SubtleReference"/>
          <w:smallCaps w:val="0"/>
          <w:color w:val="auto"/>
        </w:rPr>
        <w:t xml:space="preserve">Gnotobiotic female C57BL/6 mice were used by Stedtfeld </w:t>
      </w:r>
      <w:r w:rsidRPr="009C5A9E">
        <w:rPr>
          <w:rStyle w:val="SubtleReference"/>
          <w:i/>
          <w:smallCaps w:val="0"/>
          <w:color w:val="auto"/>
        </w:rPr>
        <w:t>et al</w:t>
      </w:r>
      <w:r w:rsidRPr="009C5A9E">
        <w:rPr>
          <w:rStyle w:val="SubtleReference"/>
          <w:smallCaps w:val="0"/>
          <w:color w:val="auto"/>
        </w:rPr>
        <w:t xml:space="preserve"> (2017) to study interactions between TCDD and segmented filamentous bacteria -SFB - (</w:t>
      </w:r>
      <w:r w:rsidRPr="009C5A9E">
        <w:rPr>
          <w:rStyle w:val="SubtleReference"/>
          <w:i/>
          <w:smallCaps w:val="0"/>
          <w:color w:val="auto"/>
        </w:rPr>
        <w:t>Candidatus</w:t>
      </w:r>
      <w:r w:rsidRPr="009C5A9E">
        <w:rPr>
          <w:rStyle w:val="SubtleReference"/>
          <w:smallCaps w:val="0"/>
          <w:color w:val="auto"/>
        </w:rPr>
        <w:t xml:space="preserve"> Savagella) in the AhR-induced regulation of regulatory T cells (T</w:t>
      </w:r>
      <w:r w:rsidRPr="009C5A9E">
        <w:rPr>
          <w:rStyle w:val="SubtleReference"/>
          <w:smallCaps w:val="0"/>
          <w:color w:val="auto"/>
          <w:vertAlign w:val="subscript"/>
        </w:rPr>
        <w:t>reg</w:t>
      </w:r>
      <w:r w:rsidRPr="009C5A9E">
        <w:rPr>
          <w:rStyle w:val="SubtleReference"/>
          <w:smallCaps w:val="0"/>
          <w:color w:val="auto"/>
        </w:rPr>
        <w:t xml:space="preserve">) in the gut. The mice were colonised by either </w:t>
      </w:r>
      <w:r w:rsidRPr="009C5A9E">
        <w:rPr>
          <w:rStyle w:val="SubtleReference"/>
          <w:i/>
          <w:smallCaps w:val="0"/>
          <w:color w:val="auto"/>
        </w:rPr>
        <w:t xml:space="preserve">Bacteroides fragilis </w:t>
      </w:r>
      <w:r w:rsidRPr="009C5A9E">
        <w:rPr>
          <w:rStyle w:val="SubtleReference"/>
          <w:smallCaps w:val="0"/>
          <w:color w:val="auto"/>
        </w:rPr>
        <w:t xml:space="preserve">as a representative commensal organism alone or in combination with the SFB and treated with either TCDD at 30 </w:t>
      </w:r>
      <w:r w:rsidR="00736C94">
        <w:rPr>
          <w:rStyle w:val="SubtleReference"/>
          <w:rFonts w:cs="Arial"/>
          <w:smallCaps w:val="0"/>
          <w:color w:val="auto"/>
        </w:rPr>
        <w:t>µ</w:t>
      </w:r>
      <w:r w:rsidR="00736C94">
        <w:rPr>
          <w:rStyle w:val="SubtleReference"/>
          <w:smallCaps w:val="0"/>
          <w:color w:val="auto"/>
        </w:rPr>
        <w:t>g</w:t>
      </w:r>
      <w:r w:rsidRPr="009C5A9E">
        <w:rPr>
          <w:rStyle w:val="SubtleReference"/>
          <w:smallCaps w:val="0"/>
          <w:color w:val="auto"/>
        </w:rPr>
        <w:t>/kg bw or sesame oil vehicle</w:t>
      </w:r>
      <w:r w:rsidR="00736C94">
        <w:rPr>
          <w:rStyle w:val="SubtleReference"/>
          <w:smallCaps w:val="0"/>
          <w:color w:val="auto"/>
        </w:rPr>
        <w:t xml:space="preserve"> every 4 days for 28 days by oral gavage</w:t>
      </w:r>
      <w:r w:rsidRPr="009C5A9E">
        <w:rPr>
          <w:rStyle w:val="SubtleReference"/>
          <w:smallCaps w:val="0"/>
          <w:color w:val="auto"/>
        </w:rPr>
        <w:t xml:space="preserve">. Other mice were treated with TCDD or vehicle in the presence of the SFB alone. In general, genes related to T cell differentiation were downregulated in response to TCDD and upregulated in response to SFB whereas the </w:t>
      </w:r>
      <w:r w:rsidRPr="009C5A9E">
        <w:rPr>
          <w:rStyle w:val="SubtleReference"/>
          <w:i/>
          <w:smallCaps w:val="0"/>
          <w:color w:val="auto"/>
        </w:rPr>
        <w:t>B. fragilis</w:t>
      </w:r>
      <w:r w:rsidRPr="009C5A9E">
        <w:rPr>
          <w:rStyle w:val="SubtleReference"/>
          <w:smallCaps w:val="0"/>
          <w:color w:val="auto"/>
        </w:rPr>
        <w:t xml:space="preserve"> exerted a lesser effect. The effect of SFB on the response of T</w:t>
      </w:r>
      <w:r w:rsidRPr="009C5A9E">
        <w:rPr>
          <w:rStyle w:val="SubtleReference"/>
          <w:smallCaps w:val="0"/>
          <w:color w:val="auto"/>
          <w:vertAlign w:val="subscript"/>
        </w:rPr>
        <w:t xml:space="preserve">reg </w:t>
      </w:r>
      <w:r w:rsidRPr="009C5A9E">
        <w:rPr>
          <w:rStyle w:val="SubtleReference"/>
          <w:smallCaps w:val="0"/>
          <w:color w:val="auto"/>
        </w:rPr>
        <w:t>was also seen in the spleen, blood and mesenteric lymph nodes. The authors suggested that continued work on the immune regulatory effects of the gut bacteria may lead to treatments for intestinal pathogens and autoimmune diseases.</w:t>
      </w:r>
    </w:p>
    <w:p w:rsidR="009C5A9E" w:rsidRDefault="009C5A9E" w:rsidP="00F40887">
      <w:pPr>
        <w:pStyle w:val="ListParagraph"/>
        <w:rPr>
          <w:rStyle w:val="SubtleReference"/>
          <w:smallCaps w:val="0"/>
          <w:color w:val="auto"/>
        </w:rPr>
      </w:pPr>
    </w:p>
    <w:p w:rsidR="00396130" w:rsidRPr="009C5A9E" w:rsidRDefault="00396130" w:rsidP="00F40887">
      <w:pPr>
        <w:pStyle w:val="ListParagraph"/>
        <w:rPr>
          <w:rStyle w:val="SubtleReference"/>
          <w:smallCaps w:val="0"/>
          <w:color w:val="auto"/>
        </w:rPr>
      </w:pPr>
    </w:p>
    <w:p w:rsidR="00527C99" w:rsidRPr="00396130" w:rsidRDefault="00527C99" w:rsidP="00F40887">
      <w:pPr>
        <w:pStyle w:val="ListParagraph"/>
        <w:tabs>
          <w:tab w:val="left" w:pos="0"/>
        </w:tabs>
        <w:spacing w:before="240" w:line="240" w:lineRule="auto"/>
        <w:ind w:left="0"/>
        <w:rPr>
          <w:rStyle w:val="SubtleReference"/>
          <w:b/>
          <w:bCs/>
          <w:iCs/>
          <w:smallCaps w:val="0"/>
          <w:color w:val="auto"/>
        </w:rPr>
      </w:pPr>
      <w:r w:rsidRPr="00396130">
        <w:rPr>
          <w:rStyle w:val="SubtleReference"/>
          <w:b/>
          <w:bCs/>
          <w:iCs/>
          <w:smallCaps w:val="0"/>
          <w:color w:val="auto"/>
        </w:rPr>
        <w:t>Food contact materials</w:t>
      </w:r>
    </w:p>
    <w:p w:rsidR="009C5A9E" w:rsidRPr="009C5A9E" w:rsidRDefault="009C5A9E" w:rsidP="00F40887">
      <w:pPr>
        <w:pStyle w:val="ListParagraph"/>
        <w:rPr>
          <w:rStyle w:val="SubtleReference"/>
          <w:smallCaps w:val="0"/>
          <w:color w:val="auto"/>
        </w:rPr>
      </w:pPr>
    </w:p>
    <w:p w:rsidR="009F01AD" w:rsidRDefault="009F01AD" w:rsidP="00F40887">
      <w:pPr>
        <w:pStyle w:val="ListParagraph"/>
        <w:numPr>
          <w:ilvl w:val="2"/>
          <w:numId w:val="1"/>
        </w:numPr>
        <w:tabs>
          <w:tab w:val="left" w:pos="0"/>
        </w:tabs>
        <w:spacing w:before="240" w:line="240" w:lineRule="auto"/>
        <w:ind w:left="0" w:firstLine="0"/>
        <w:rPr>
          <w:rStyle w:val="SubtleReference"/>
          <w:smallCaps w:val="0"/>
          <w:color w:val="auto"/>
        </w:rPr>
      </w:pPr>
      <w:r w:rsidRPr="009C5A9E">
        <w:rPr>
          <w:rStyle w:val="SubtleReference"/>
          <w:smallCaps w:val="0"/>
          <w:color w:val="auto"/>
        </w:rPr>
        <w:t xml:space="preserve">Groh </w:t>
      </w:r>
      <w:r w:rsidRPr="009C5A9E">
        <w:rPr>
          <w:rStyle w:val="SubtleReference"/>
          <w:i/>
          <w:smallCaps w:val="0"/>
          <w:color w:val="auto"/>
        </w:rPr>
        <w:t xml:space="preserve">et al </w:t>
      </w:r>
      <w:r w:rsidRPr="009C5A9E">
        <w:rPr>
          <w:rStyle w:val="SubtleReference"/>
          <w:smallCaps w:val="0"/>
          <w:color w:val="auto"/>
        </w:rPr>
        <w:t>(2017) reviewed the effect of food contact materials on gut health, including the gut microbiota. They recognised that a large number of potentially antimicrobial compounds that are used in food contact materials</w:t>
      </w:r>
      <w:r w:rsidR="0069507E">
        <w:rPr>
          <w:rStyle w:val="SubtleReference"/>
          <w:smallCaps w:val="0"/>
          <w:color w:val="auto"/>
        </w:rPr>
        <w:t>,</w:t>
      </w:r>
      <w:r w:rsidRPr="009C5A9E">
        <w:rPr>
          <w:rStyle w:val="SubtleReference"/>
          <w:smallCaps w:val="0"/>
          <w:color w:val="auto"/>
        </w:rPr>
        <w:t xml:space="preserve"> such as packaging</w:t>
      </w:r>
      <w:r w:rsidR="0069507E">
        <w:rPr>
          <w:rStyle w:val="SubtleReference"/>
          <w:smallCaps w:val="0"/>
          <w:color w:val="auto"/>
        </w:rPr>
        <w:t>,</w:t>
      </w:r>
      <w:r w:rsidRPr="009C5A9E">
        <w:rPr>
          <w:rStyle w:val="SubtleReference"/>
          <w:smallCaps w:val="0"/>
          <w:color w:val="auto"/>
        </w:rPr>
        <w:t xml:space="preserve"> or </w:t>
      </w:r>
      <w:r w:rsidR="003D18B5">
        <w:rPr>
          <w:rStyle w:val="SubtleReference"/>
          <w:smallCaps w:val="0"/>
          <w:color w:val="auto"/>
        </w:rPr>
        <w:t xml:space="preserve">were </w:t>
      </w:r>
      <w:r w:rsidRPr="009C5A9E">
        <w:rPr>
          <w:rStyle w:val="SubtleReference"/>
          <w:smallCaps w:val="0"/>
          <w:color w:val="auto"/>
        </w:rPr>
        <w:t xml:space="preserve">added directly to foods have so far been insufficiently studied for any </w:t>
      </w:r>
      <w:r w:rsidR="00737047">
        <w:rPr>
          <w:rStyle w:val="SubtleReference"/>
          <w:smallCaps w:val="0"/>
          <w:color w:val="auto"/>
        </w:rPr>
        <w:t>conclusions to be drawn</w:t>
      </w:r>
      <w:r w:rsidRPr="009C5A9E">
        <w:rPr>
          <w:rStyle w:val="SubtleReference"/>
          <w:smallCaps w:val="0"/>
          <w:color w:val="auto"/>
        </w:rPr>
        <w:t>. The polymer chitosan is known to be antimicrobial (</w:t>
      </w:r>
      <w:r w:rsidR="000B7C11">
        <w:rPr>
          <w:rStyle w:val="SubtleReference"/>
          <w:smallCaps w:val="0"/>
          <w:color w:val="auto"/>
        </w:rPr>
        <w:t xml:space="preserve">the effect on </w:t>
      </w:r>
      <w:r w:rsidRPr="009C5A9E">
        <w:rPr>
          <w:rStyle w:val="SubtleReference"/>
          <w:smallCaps w:val="0"/>
          <w:color w:val="auto"/>
        </w:rPr>
        <w:t xml:space="preserve">Gram+ &gt; Gram -) and has been shown to reduce the </w:t>
      </w:r>
      <w:r w:rsidRPr="009C5A9E">
        <w:rPr>
          <w:rStyle w:val="SubtleReference"/>
          <w:i/>
          <w:smallCaps w:val="0"/>
          <w:color w:val="auto"/>
        </w:rPr>
        <w:t xml:space="preserve">Firmicutes </w:t>
      </w:r>
      <w:r w:rsidRPr="009C5A9E">
        <w:rPr>
          <w:rStyle w:val="SubtleReference"/>
          <w:smallCaps w:val="0"/>
          <w:color w:val="auto"/>
        </w:rPr>
        <w:t xml:space="preserve">/ </w:t>
      </w:r>
      <w:r w:rsidRPr="009C5A9E">
        <w:rPr>
          <w:rStyle w:val="SubtleReference"/>
          <w:i/>
          <w:smallCaps w:val="0"/>
          <w:color w:val="auto"/>
        </w:rPr>
        <w:t>Bacteroidetes</w:t>
      </w:r>
      <w:r w:rsidRPr="009C5A9E">
        <w:rPr>
          <w:rStyle w:val="SubtleReference"/>
          <w:smallCaps w:val="0"/>
          <w:color w:val="auto"/>
        </w:rPr>
        <w:t xml:space="preserve"> ratio</w:t>
      </w:r>
      <w:r w:rsidR="000B7C11" w:rsidRPr="000B7C11">
        <w:rPr>
          <w:rStyle w:val="SubtleReference"/>
          <w:smallCaps w:val="0"/>
          <w:color w:val="auto"/>
        </w:rPr>
        <w:t xml:space="preserve"> </w:t>
      </w:r>
      <w:r w:rsidR="000B7C11">
        <w:rPr>
          <w:rStyle w:val="SubtleReference"/>
          <w:smallCaps w:val="0"/>
          <w:color w:val="auto"/>
        </w:rPr>
        <w:t xml:space="preserve">when </w:t>
      </w:r>
      <w:r w:rsidR="00737047">
        <w:rPr>
          <w:rStyle w:val="SubtleReference"/>
          <w:smallCaps w:val="0"/>
          <w:color w:val="auto"/>
        </w:rPr>
        <w:t>consumed by</w:t>
      </w:r>
      <w:r w:rsidR="000B7C11">
        <w:rPr>
          <w:rStyle w:val="SubtleReference"/>
          <w:smallCaps w:val="0"/>
          <w:color w:val="auto"/>
        </w:rPr>
        <w:t xml:space="preserve"> </w:t>
      </w:r>
      <w:r w:rsidR="000B7C11" w:rsidRPr="009C5A9E">
        <w:rPr>
          <w:rStyle w:val="SubtleReference"/>
          <w:smallCaps w:val="0"/>
          <w:color w:val="auto"/>
        </w:rPr>
        <w:t>pigs and humans</w:t>
      </w:r>
      <w:r w:rsidRPr="009C5A9E">
        <w:rPr>
          <w:rStyle w:val="SubtleReference"/>
          <w:smallCaps w:val="0"/>
          <w:color w:val="auto"/>
        </w:rPr>
        <w:t xml:space="preserve">. Other compounds </w:t>
      </w:r>
      <w:r w:rsidR="0069507E">
        <w:rPr>
          <w:rStyle w:val="SubtleReference"/>
          <w:smallCaps w:val="0"/>
          <w:color w:val="auto"/>
        </w:rPr>
        <w:t>reported</w:t>
      </w:r>
      <w:r w:rsidR="0069507E" w:rsidRPr="009C5A9E">
        <w:rPr>
          <w:rStyle w:val="SubtleReference"/>
          <w:smallCaps w:val="0"/>
          <w:color w:val="auto"/>
        </w:rPr>
        <w:t xml:space="preserve"> </w:t>
      </w:r>
      <w:r w:rsidRPr="009C5A9E">
        <w:rPr>
          <w:rStyle w:val="SubtleReference"/>
          <w:smallCaps w:val="0"/>
          <w:color w:val="auto"/>
        </w:rPr>
        <w:t>to affect the composition of the microbiota in mammals, but without obvious antimicrobial properties, are diethylphthalate, methyl paraben, polysorbate-80 and carboxymethylcellulose. Many of these changes have been seen to be accompanied by gut inflammation.</w:t>
      </w:r>
    </w:p>
    <w:p w:rsidR="009C5A9E" w:rsidRDefault="009C5A9E" w:rsidP="00F40887">
      <w:pPr>
        <w:pStyle w:val="ListParagraph"/>
        <w:tabs>
          <w:tab w:val="left" w:pos="0"/>
        </w:tabs>
        <w:spacing w:before="240" w:line="240" w:lineRule="auto"/>
        <w:ind w:left="0"/>
        <w:rPr>
          <w:rStyle w:val="SubtleReference"/>
          <w:smallCaps w:val="0"/>
          <w:color w:val="auto"/>
        </w:rPr>
      </w:pPr>
    </w:p>
    <w:p w:rsidR="009C5A9E" w:rsidRDefault="009C5A9E" w:rsidP="00F40887">
      <w:pPr>
        <w:pStyle w:val="ListParagraph"/>
        <w:tabs>
          <w:tab w:val="left" w:pos="0"/>
        </w:tabs>
        <w:spacing w:before="240" w:line="240" w:lineRule="auto"/>
        <w:ind w:left="0"/>
        <w:rPr>
          <w:rStyle w:val="SubtleReference"/>
          <w:smallCaps w:val="0"/>
          <w:color w:val="auto"/>
        </w:rPr>
      </w:pPr>
    </w:p>
    <w:p w:rsidR="000B421B" w:rsidRPr="009C5A9E" w:rsidRDefault="000B421B" w:rsidP="00F40887">
      <w:pPr>
        <w:pStyle w:val="ListParagraph"/>
        <w:tabs>
          <w:tab w:val="left" w:pos="0"/>
        </w:tabs>
        <w:spacing w:before="240" w:line="240" w:lineRule="auto"/>
        <w:ind w:left="0"/>
      </w:pPr>
      <w:r w:rsidRPr="009C5A9E">
        <w:rPr>
          <w:b/>
          <w:szCs w:val="24"/>
        </w:rPr>
        <w:t>Effects of the microbiota on xenobiotics</w:t>
      </w:r>
      <w:r w:rsidRPr="009C5A9E">
        <w:rPr>
          <w:szCs w:val="24"/>
        </w:rPr>
        <w:t>.</w:t>
      </w:r>
    </w:p>
    <w:p w:rsidR="009C5A9E" w:rsidRPr="009C5A9E" w:rsidRDefault="009C5A9E" w:rsidP="00F40887">
      <w:pPr>
        <w:pStyle w:val="ListParagraph"/>
        <w:tabs>
          <w:tab w:val="left" w:pos="0"/>
        </w:tabs>
        <w:spacing w:before="240" w:line="240" w:lineRule="auto"/>
        <w:ind w:left="0"/>
      </w:pPr>
    </w:p>
    <w:p w:rsidR="00237915" w:rsidRPr="009C5A9E" w:rsidRDefault="000B421B" w:rsidP="00F40887">
      <w:pPr>
        <w:pStyle w:val="ListParagraph"/>
        <w:numPr>
          <w:ilvl w:val="2"/>
          <w:numId w:val="1"/>
        </w:numPr>
        <w:tabs>
          <w:tab w:val="left" w:pos="0"/>
        </w:tabs>
        <w:spacing w:before="240" w:line="240" w:lineRule="auto"/>
        <w:ind w:left="0" w:firstLine="0"/>
      </w:pPr>
      <w:r w:rsidRPr="009C5A9E">
        <w:rPr>
          <w:szCs w:val="24"/>
        </w:rPr>
        <w:t xml:space="preserve">The metabolism of xenobiotics from various sources by the gut microbiota is a two-edged sword, like that performed by host enzymes, in that it may lead to products that protect the host from chemical damage or </w:t>
      </w:r>
      <w:r w:rsidR="0069507E">
        <w:rPr>
          <w:szCs w:val="24"/>
        </w:rPr>
        <w:t>convert</w:t>
      </w:r>
      <w:r w:rsidR="0069507E" w:rsidRPr="009C5A9E">
        <w:rPr>
          <w:szCs w:val="24"/>
        </w:rPr>
        <w:t xml:space="preserve"> </w:t>
      </w:r>
      <w:r w:rsidRPr="009C5A9E">
        <w:rPr>
          <w:szCs w:val="24"/>
        </w:rPr>
        <w:t>relatively innocuous chemicals to active products. For example, sul</w:t>
      </w:r>
      <w:r w:rsidR="00056900">
        <w:rPr>
          <w:szCs w:val="24"/>
        </w:rPr>
        <w:t>f</w:t>
      </w:r>
      <w:r w:rsidRPr="009C5A9E">
        <w:rPr>
          <w:szCs w:val="24"/>
        </w:rPr>
        <w:t>ates</w:t>
      </w:r>
      <w:r w:rsidR="009C351D" w:rsidRPr="009C5A9E">
        <w:rPr>
          <w:szCs w:val="24"/>
        </w:rPr>
        <w:t xml:space="preserve"> and sul</w:t>
      </w:r>
      <w:r w:rsidR="00056900">
        <w:rPr>
          <w:szCs w:val="24"/>
        </w:rPr>
        <w:t>f</w:t>
      </w:r>
      <w:r w:rsidR="009C351D" w:rsidRPr="009C5A9E">
        <w:rPr>
          <w:szCs w:val="24"/>
        </w:rPr>
        <w:t>ur-containing amino acids</w:t>
      </w:r>
      <w:r w:rsidRPr="009C5A9E">
        <w:rPr>
          <w:szCs w:val="24"/>
        </w:rPr>
        <w:t xml:space="preserve"> in the diet may be red</w:t>
      </w:r>
      <w:r w:rsidR="009C351D" w:rsidRPr="009C5A9E">
        <w:rPr>
          <w:szCs w:val="24"/>
        </w:rPr>
        <w:t>u</w:t>
      </w:r>
      <w:r w:rsidRPr="009C5A9E">
        <w:rPr>
          <w:szCs w:val="24"/>
        </w:rPr>
        <w:t>ced to hydrogen sul</w:t>
      </w:r>
      <w:r w:rsidR="00056900">
        <w:rPr>
          <w:szCs w:val="24"/>
        </w:rPr>
        <w:t>f</w:t>
      </w:r>
      <w:r w:rsidRPr="009C5A9E">
        <w:rPr>
          <w:szCs w:val="24"/>
        </w:rPr>
        <w:t xml:space="preserve">ide, which may </w:t>
      </w:r>
      <w:r w:rsidR="009C351D" w:rsidRPr="009C5A9E">
        <w:rPr>
          <w:szCs w:val="24"/>
        </w:rPr>
        <w:t xml:space="preserve">lead to reduced functioning of colonic epithelial cells, inflammation and increased rates of colon cancer. Nitrate reduction results in the production of </w:t>
      </w:r>
      <w:r w:rsidR="0069507E">
        <w:rPr>
          <w:szCs w:val="24"/>
        </w:rPr>
        <w:t xml:space="preserve">nitrite and thence </w:t>
      </w:r>
      <w:r w:rsidR="009C351D" w:rsidRPr="009C5A9E">
        <w:rPr>
          <w:szCs w:val="24"/>
        </w:rPr>
        <w:t>nitroso compounds, which are known DNA alkylating agents</w:t>
      </w:r>
      <w:r w:rsidR="00275E9B" w:rsidRPr="009C5A9E">
        <w:rPr>
          <w:szCs w:val="24"/>
        </w:rPr>
        <w:t xml:space="preserve">. Conversely, metabolism of plant-derived flavonoids and glucosinolates by various genera of gut bacteria have been related to </w:t>
      </w:r>
      <w:r w:rsidR="00911171" w:rsidRPr="009C5A9E">
        <w:rPr>
          <w:szCs w:val="24"/>
        </w:rPr>
        <w:t xml:space="preserve">reduced levels of colorectal cancer (Hullar </w:t>
      </w:r>
      <w:r w:rsidR="00911171" w:rsidRPr="009C5A9E">
        <w:rPr>
          <w:i/>
          <w:szCs w:val="24"/>
        </w:rPr>
        <w:t>et al</w:t>
      </w:r>
      <w:r w:rsidR="00911171" w:rsidRPr="009C5A9E">
        <w:rPr>
          <w:szCs w:val="24"/>
        </w:rPr>
        <w:t>, 2014)</w:t>
      </w:r>
      <w:r w:rsidR="00297A36">
        <w:rPr>
          <w:szCs w:val="24"/>
        </w:rPr>
        <w:t>.</w:t>
      </w:r>
    </w:p>
    <w:p w:rsidR="009C5A9E" w:rsidRPr="009C5A9E" w:rsidRDefault="009C5A9E" w:rsidP="00F40887">
      <w:pPr>
        <w:pStyle w:val="ListParagraph"/>
        <w:tabs>
          <w:tab w:val="left" w:pos="0"/>
        </w:tabs>
        <w:spacing w:before="240" w:line="240" w:lineRule="auto"/>
        <w:ind w:left="0"/>
      </w:pPr>
    </w:p>
    <w:p w:rsidR="00F00AB0" w:rsidRPr="009C5A9E" w:rsidRDefault="00F00AB0" w:rsidP="00F40887">
      <w:pPr>
        <w:pStyle w:val="ListParagraph"/>
        <w:numPr>
          <w:ilvl w:val="2"/>
          <w:numId w:val="1"/>
        </w:numPr>
        <w:tabs>
          <w:tab w:val="left" w:pos="0"/>
        </w:tabs>
        <w:spacing w:before="240" w:line="240" w:lineRule="auto"/>
        <w:ind w:left="0" w:firstLine="0"/>
      </w:pPr>
      <w:r w:rsidRPr="009C5A9E">
        <w:rPr>
          <w:szCs w:val="24"/>
        </w:rPr>
        <w:t xml:space="preserve">Li </w:t>
      </w:r>
      <w:r w:rsidRPr="009C5A9E">
        <w:rPr>
          <w:i/>
          <w:szCs w:val="24"/>
        </w:rPr>
        <w:t>et al</w:t>
      </w:r>
      <w:r w:rsidRPr="009C5A9E">
        <w:rPr>
          <w:szCs w:val="24"/>
        </w:rPr>
        <w:t xml:space="preserve"> (2019) reviewed the methylation and demethylation of mercury by the gut microbiota of fish, terrestrial invertebrates and mammals. Papers from as early as 1975 showed that </w:t>
      </w:r>
      <w:r w:rsidR="00977DE5" w:rsidRPr="009C5A9E">
        <w:rPr>
          <w:szCs w:val="24"/>
        </w:rPr>
        <w:t>anaerobic incubation of inorganic mercury</w:t>
      </w:r>
      <w:r w:rsidR="00977DE5" w:rsidRPr="009C5A9E">
        <w:rPr>
          <w:szCs w:val="24"/>
          <w:vertAlign w:val="subscript"/>
        </w:rPr>
        <w:t xml:space="preserve"> </w:t>
      </w:r>
      <w:r w:rsidR="00977DE5" w:rsidRPr="009C5A9E">
        <w:rPr>
          <w:szCs w:val="24"/>
        </w:rPr>
        <w:t>in closed off loops of rat intestine and in the rumen of red deer could lead to methylmercury (MeHg) production. Incubation of HgCl</w:t>
      </w:r>
      <w:r w:rsidR="00977DE5" w:rsidRPr="009C5A9E">
        <w:rPr>
          <w:szCs w:val="24"/>
          <w:vertAlign w:val="subscript"/>
        </w:rPr>
        <w:t xml:space="preserve">2 </w:t>
      </w:r>
      <w:r w:rsidR="00977DE5" w:rsidRPr="009C5A9E">
        <w:rPr>
          <w:szCs w:val="24"/>
        </w:rPr>
        <w:t>with a human faecal suspension under anaerobic conditions also produced MeHg</w:t>
      </w:r>
      <w:r w:rsidR="002610FE" w:rsidRPr="009C5A9E">
        <w:rPr>
          <w:szCs w:val="24"/>
        </w:rPr>
        <w:t xml:space="preserve"> and some of the bacteria capable of this process were identified as </w:t>
      </w:r>
      <w:r w:rsidR="002610FE" w:rsidRPr="009C5A9E">
        <w:rPr>
          <w:i/>
          <w:szCs w:val="24"/>
        </w:rPr>
        <w:t>Staphylococci, Streptococci</w:t>
      </w:r>
      <w:r w:rsidR="002610FE" w:rsidRPr="009C5A9E">
        <w:rPr>
          <w:szCs w:val="24"/>
        </w:rPr>
        <w:t xml:space="preserve"> and </w:t>
      </w:r>
      <w:r w:rsidR="002610FE" w:rsidRPr="009C5A9E">
        <w:rPr>
          <w:i/>
          <w:szCs w:val="24"/>
        </w:rPr>
        <w:t>E. coli</w:t>
      </w:r>
      <w:r w:rsidR="002610FE" w:rsidRPr="009C5A9E">
        <w:rPr>
          <w:szCs w:val="24"/>
        </w:rPr>
        <w:t>.</w:t>
      </w:r>
      <w:r w:rsidR="0003633E" w:rsidRPr="009C5A9E">
        <w:rPr>
          <w:szCs w:val="24"/>
        </w:rPr>
        <w:t xml:space="preserve"> However, Zhou </w:t>
      </w:r>
      <w:r w:rsidR="0003633E" w:rsidRPr="009C5A9E">
        <w:rPr>
          <w:i/>
          <w:iCs/>
          <w:szCs w:val="24"/>
        </w:rPr>
        <w:t>et al (</w:t>
      </w:r>
      <w:r w:rsidR="0003633E" w:rsidRPr="009C5A9E">
        <w:rPr>
          <w:szCs w:val="24"/>
        </w:rPr>
        <w:t>2011</w:t>
      </w:r>
      <w:r w:rsidR="00E81B08" w:rsidRPr="009C5A9E">
        <w:rPr>
          <w:szCs w:val="24"/>
        </w:rPr>
        <w:t>, from abstract</w:t>
      </w:r>
      <w:r w:rsidR="0003633E" w:rsidRPr="009C5A9E">
        <w:rPr>
          <w:szCs w:val="24"/>
        </w:rPr>
        <w:t xml:space="preserve">) found that human gut flora converted cinnabar (HgS) </w:t>
      </w:r>
      <w:r w:rsidR="00E81B08" w:rsidRPr="009C5A9E">
        <w:rPr>
          <w:szCs w:val="24"/>
        </w:rPr>
        <w:t>into less toxic mercuric polysul</w:t>
      </w:r>
      <w:r w:rsidR="00056900">
        <w:rPr>
          <w:szCs w:val="24"/>
        </w:rPr>
        <w:t>f</w:t>
      </w:r>
      <w:r w:rsidR="00E81B08" w:rsidRPr="009C5A9E">
        <w:rPr>
          <w:szCs w:val="24"/>
        </w:rPr>
        <w:t xml:space="preserve">ides rather than MeHg, suggesting that the nature of the substrate </w:t>
      </w:r>
      <w:r w:rsidR="00AC62F4" w:rsidRPr="009C5A9E">
        <w:rPr>
          <w:szCs w:val="24"/>
        </w:rPr>
        <w:t>c</w:t>
      </w:r>
      <w:r w:rsidR="00E81B08" w:rsidRPr="009C5A9E">
        <w:rPr>
          <w:szCs w:val="24"/>
        </w:rPr>
        <w:t xml:space="preserve">an affect </w:t>
      </w:r>
      <w:r w:rsidR="00E53E93">
        <w:rPr>
          <w:szCs w:val="24"/>
        </w:rPr>
        <w:t xml:space="preserve">metallic </w:t>
      </w:r>
      <w:r w:rsidR="00E81B08" w:rsidRPr="009C5A9E">
        <w:rPr>
          <w:szCs w:val="24"/>
        </w:rPr>
        <w:t>species transformation and hence toxicity.</w:t>
      </w:r>
    </w:p>
    <w:p w:rsidR="009C5A9E" w:rsidRDefault="009C5A9E" w:rsidP="00F40887">
      <w:pPr>
        <w:pStyle w:val="ListParagraph"/>
      </w:pPr>
    </w:p>
    <w:p w:rsidR="008E123C" w:rsidRDefault="005537CA" w:rsidP="00F40887">
      <w:pPr>
        <w:pStyle w:val="ListParagraph"/>
        <w:numPr>
          <w:ilvl w:val="2"/>
          <w:numId w:val="1"/>
        </w:numPr>
        <w:tabs>
          <w:tab w:val="left" w:pos="0"/>
        </w:tabs>
        <w:spacing w:before="240" w:line="240" w:lineRule="auto"/>
        <w:ind w:left="0" w:firstLine="0"/>
      </w:pPr>
      <w:r>
        <w:t>T</w:t>
      </w:r>
      <w:r w:rsidRPr="00F94FA9">
        <w:t xml:space="preserve">he </w:t>
      </w:r>
      <w:r w:rsidR="002F3504" w:rsidRPr="00F94FA9">
        <w:t xml:space="preserve">gut biota </w:t>
      </w:r>
      <w:r w:rsidR="002F3504">
        <w:t xml:space="preserve">of </w:t>
      </w:r>
      <w:r w:rsidRPr="00F94FA9">
        <w:t>rat</w:t>
      </w:r>
      <w:r w:rsidR="002F3504">
        <w:t>s</w:t>
      </w:r>
      <w:r w:rsidRPr="00F94FA9">
        <w:t xml:space="preserve"> and marine fish are capable </w:t>
      </w:r>
      <w:r>
        <w:t>of m</w:t>
      </w:r>
      <w:r w:rsidR="002E1B38" w:rsidRPr="00F94FA9">
        <w:t xml:space="preserve">ethylmercury demethylation which confers protection against the neurotoxic effect of organic mercury in the diet. Guo </w:t>
      </w:r>
      <w:r w:rsidR="002E1B38" w:rsidRPr="009C5A9E">
        <w:rPr>
          <w:i/>
        </w:rPr>
        <w:t>et al</w:t>
      </w:r>
      <w:r w:rsidR="002E1B38" w:rsidRPr="00F94FA9">
        <w:t xml:space="preserve"> (2018) tested the effect of methylmercury on the microbiota in slurries prepared from the faeces of two healthy</w:t>
      </w:r>
      <w:r w:rsidR="00E828B8" w:rsidRPr="00F94FA9">
        <w:t xml:space="preserve"> human</w:t>
      </w:r>
      <w:r w:rsidR="002E1B38" w:rsidRPr="00F94FA9">
        <w:t xml:space="preserve"> individuals (designated A and B) and found that there were marked inter-individual differences in demethylation. A balanced diet, a diet rich in carbohydrates and a diet rich in protein were tested on the ability of faecal slurry </w:t>
      </w:r>
      <w:r>
        <w:t xml:space="preserve">samples </w:t>
      </w:r>
      <w:r w:rsidR="002E1B38" w:rsidRPr="00F94FA9">
        <w:t>to demethylate methylmercury</w:t>
      </w:r>
      <w:r w:rsidR="00DB769D">
        <w:t>.</w:t>
      </w:r>
      <w:r w:rsidR="002E1B38" w:rsidRPr="00F94FA9">
        <w:t xml:space="preserve"> </w:t>
      </w:r>
      <w:r w:rsidR="00DB769D">
        <w:t>T</w:t>
      </w:r>
      <w:r w:rsidR="002E1B38" w:rsidRPr="00F94FA9">
        <w:t xml:space="preserve">he effect was enhanced by increased protein, but only in individual A. After 48 hours of methyl mercury treatment, </w:t>
      </w:r>
      <w:r w:rsidR="002E1B38" w:rsidRPr="009C5A9E">
        <w:rPr>
          <w:i/>
        </w:rPr>
        <w:t>Proteobacteria</w:t>
      </w:r>
      <w:r w:rsidR="002E1B38" w:rsidRPr="00F94FA9">
        <w:t xml:space="preserve"> growth had reduced the proportion of the major phyla in individual A except in the high carbohydrate group, where there was marked growth of the </w:t>
      </w:r>
      <w:r w:rsidR="002E1B38" w:rsidRPr="009C5A9E">
        <w:rPr>
          <w:i/>
        </w:rPr>
        <w:t>Actinobacteria</w:t>
      </w:r>
      <w:r w:rsidR="002E1B38" w:rsidRPr="00F94FA9">
        <w:t xml:space="preserve">. The pattern in individual B was markedly different, with MeHg-carbohydrate having minimal impact on the microbiota profile but Hg and the other diets increasing the proportions of other minor phyla. On genetic profiling, the gut biota from neither individual expressed the </w:t>
      </w:r>
      <w:r w:rsidR="002E1B38" w:rsidRPr="009C5A9E">
        <w:rPr>
          <w:i/>
        </w:rPr>
        <w:t xml:space="preserve">mer </w:t>
      </w:r>
      <w:r w:rsidR="002E1B38" w:rsidRPr="00F94FA9">
        <w:t>operon, the best characterised mercury-resistance mechanism in bacteria, so the actual demethylation mechanism remained unresolved.</w:t>
      </w:r>
    </w:p>
    <w:p w:rsidR="009C5A9E" w:rsidRDefault="009C5A9E" w:rsidP="00F40887">
      <w:pPr>
        <w:pStyle w:val="ListParagraph"/>
        <w:tabs>
          <w:tab w:val="left" w:pos="0"/>
        </w:tabs>
        <w:spacing w:before="240" w:line="240" w:lineRule="auto"/>
        <w:ind w:left="0"/>
      </w:pPr>
    </w:p>
    <w:p w:rsidR="00011B30" w:rsidRDefault="00B364D6" w:rsidP="00F40887">
      <w:pPr>
        <w:pStyle w:val="ListParagraph"/>
        <w:numPr>
          <w:ilvl w:val="2"/>
          <w:numId w:val="1"/>
        </w:numPr>
        <w:tabs>
          <w:tab w:val="left" w:pos="0"/>
        </w:tabs>
        <w:spacing w:before="240" w:line="240" w:lineRule="auto"/>
        <w:ind w:left="0" w:firstLine="0"/>
      </w:pPr>
      <w:r w:rsidRPr="00F94FA9">
        <w:t xml:space="preserve">A number of reviews on the effects of the gut microbiota on the metabolism by, and thence influence in the pharmacological or toxicological effects of xenobiotics were </w:t>
      </w:r>
      <w:r w:rsidR="0069507E">
        <w:t>identified</w:t>
      </w:r>
      <w:r w:rsidR="0069507E" w:rsidRPr="00F94FA9">
        <w:t xml:space="preserve"> </w:t>
      </w:r>
      <w:r w:rsidRPr="00F94FA9">
        <w:t>in literature searches</w:t>
      </w:r>
      <w:r w:rsidR="00916A64" w:rsidRPr="00F94FA9">
        <w:t>:</w:t>
      </w:r>
    </w:p>
    <w:p w:rsidR="009C5A9E" w:rsidRDefault="009C5A9E" w:rsidP="00F40887">
      <w:pPr>
        <w:pStyle w:val="ListParagraph"/>
      </w:pPr>
    </w:p>
    <w:p w:rsidR="00916A64" w:rsidRDefault="00916A64" w:rsidP="00F40887">
      <w:pPr>
        <w:pStyle w:val="ListParagraph"/>
        <w:numPr>
          <w:ilvl w:val="2"/>
          <w:numId w:val="1"/>
        </w:numPr>
        <w:tabs>
          <w:tab w:val="left" w:pos="0"/>
        </w:tabs>
        <w:spacing w:before="240" w:line="240" w:lineRule="auto"/>
        <w:ind w:left="0" w:firstLine="0"/>
      </w:pPr>
      <w:r w:rsidRPr="00F94FA9">
        <w:t xml:space="preserve">Saad </w:t>
      </w:r>
      <w:r w:rsidRPr="009C5A9E">
        <w:rPr>
          <w:i/>
        </w:rPr>
        <w:t>et al</w:t>
      </w:r>
      <w:r w:rsidRPr="00F94FA9">
        <w:t xml:space="preserve"> (2012) list</w:t>
      </w:r>
      <w:r w:rsidR="000D3DAF" w:rsidRPr="00F94FA9">
        <w:t>ed</w:t>
      </w:r>
      <w:r w:rsidRPr="00F94FA9">
        <w:t xml:space="preserve"> a number of microbial metabolic actions that modify the effects of ingested chemicals such as enhancing the conversion of HAA into more potent mutagens, hydrolysing glucosides to release</w:t>
      </w:r>
      <w:r w:rsidR="002B538D" w:rsidRPr="00F94FA9">
        <w:t xml:space="preserve"> aglycones</w:t>
      </w:r>
      <w:r w:rsidRPr="00F94FA9">
        <w:t>, potentiating host drug metabolism, activation of prodrugs</w:t>
      </w:r>
      <w:r w:rsidR="00716985" w:rsidRPr="00F94FA9">
        <w:t xml:space="preserve"> and increasing or reducing toxicity depending on the drug in question.</w:t>
      </w:r>
    </w:p>
    <w:p w:rsidR="009C5A9E" w:rsidRDefault="009C5A9E" w:rsidP="00F40887">
      <w:pPr>
        <w:pStyle w:val="ListParagraph"/>
      </w:pPr>
    </w:p>
    <w:p w:rsidR="00D55B45" w:rsidRDefault="00716985" w:rsidP="00F40887">
      <w:pPr>
        <w:pStyle w:val="ListParagraph"/>
        <w:numPr>
          <w:ilvl w:val="2"/>
          <w:numId w:val="1"/>
        </w:numPr>
        <w:tabs>
          <w:tab w:val="left" w:pos="0"/>
        </w:tabs>
        <w:spacing w:before="240" w:line="240" w:lineRule="auto"/>
        <w:ind w:left="0" w:firstLine="0"/>
      </w:pPr>
      <w:r w:rsidRPr="00F94FA9">
        <w:t xml:space="preserve">Li and </w:t>
      </w:r>
      <w:r w:rsidR="00D55B45" w:rsidRPr="00F94FA9">
        <w:t>Ji</w:t>
      </w:r>
      <w:r w:rsidRPr="00F94FA9">
        <w:t xml:space="preserve">a </w:t>
      </w:r>
      <w:r w:rsidR="00514700" w:rsidRPr="00F94FA9">
        <w:t xml:space="preserve">(2013) </w:t>
      </w:r>
      <w:r w:rsidRPr="00F94FA9">
        <w:t>list</w:t>
      </w:r>
      <w:r w:rsidR="000D3DAF" w:rsidRPr="00F94FA9">
        <w:t>ed</w:t>
      </w:r>
      <w:r w:rsidRPr="00F94FA9">
        <w:t xml:space="preserve"> the metabolic actions of microbiota-expressed enzymes on a range of </w:t>
      </w:r>
      <w:r w:rsidR="00FB5D78" w:rsidRPr="00F94FA9">
        <w:t>drugs. Activities include</w:t>
      </w:r>
      <w:r w:rsidR="000D3DAF" w:rsidRPr="00F94FA9">
        <w:t>d</w:t>
      </w:r>
      <w:r w:rsidR="00FB5D78" w:rsidRPr="00F94FA9">
        <w:t xml:space="preserve"> reduction, hydrolysis, d</w:t>
      </w:r>
      <w:r w:rsidR="00AA013A">
        <w:t>e</w:t>
      </w:r>
      <w:r w:rsidR="00FB5D78" w:rsidRPr="00F94FA9">
        <w:t>acylation,</w:t>
      </w:r>
      <w:r w:rsidR="00DD19CC" w:rsidRPr="00F94FA9">
        <w:t xml:space="preserve"> </w:t>
      </w:r>
      <w:r w:rsidR="00FB5D78" w:rsidRPr="00F94FA9">
        <w:t>deamination, proteolysis, ring opening and group scission. These actions led to</w:t>
      </w:r>
      <w:r w:rsidR="008678FF" w:rsidRPr="00F94FA9">
        <w:t xml:space="preserve"> xenobiotic</w:t>
      </w:r>
      <w:r w:rsidR="00FB5D78" w:rsidRPr="00F94FA9">
        <w:t xml:space="preserve"> activation or inactivation, </w:t>
      </w:r>
      <w:r w:rsidR="00D55B45" w:rsidRPr="00F94FA9">
        <w:t>increased absorption and increased activity, leading to either the desired therapeutic effect, reduction of this effect or unwanted toxicity.</w:t>
      </w:r>
    </w:p>
    <w:p w:rsidR="009C5A9E" w:rsidRDefault="009C5A9E" w:rsidP="00F40887">
      <w:pPr>
        <w:pStyle w:val="ListParagraph"/>
      </w:pPr>
    </w:p>
    <w:p w:rsidR="009C5A9E" w:rsidRDefault="00D55B45" w:rsidP="00F40887">
      <w:pPr>
        <w:pStyle w:val="ListParagraph"/>
        <w:numPr>
          <w:ilvl w:val="2"/>
          <w:numId w:val="1"/>
        </w:numPr>
        <w:tabs>
          <w:tab w:val="left" w:pos="0"/>
        </w:tabs>
        <w:spacing w:before="240" w:line="240" w:lineRule="auto"/>
        <w:ind w:left="0" w:firstLine="0"/>
      </w:pPr>
      <w:r w:rsidRPr="00F94FA9">
        <w:t xml:space="preserve"> </w:t>
      </w:r>
      <w:r w:rsidR="00C6428A" w:rsidRPr="00F94FA9">
        <w:t xml:space="preserve">Kim (2015) </w:t>
      </w:r>
      <w:r w:rsidR="00AA013A">
        <w:t>reviewed</w:t>
      </w:r>
      <w:r w:rsidR="00AA013A" w:rsidRPr="00F94FA9">
        <w:t xml:space="preserve"> </w:t>
      </w:r>
      <w:r w:rsidR="00C6428A" w:rsidRPr="00F94FA9">
        <w:t xml:space="preserve">a range of drugs and </w:t>
      </w:r>
      <w:r w:rsidR="00AA013A">
        <w:t>phytochemicals</w:t>
      </w:r>
      <w:r w:rsidR="00AA013A" w:rsidRPr="00F94FA9">
        <w:t xml:space="preserve"> </w:t>
      </w:r>
      <w:r w:rsidR="00C6428A" w:rsidRPr="00F94FA9">
        <w:t xml:space="preserve">on mechanisms </w:t>
      </w:r>
      <w:r w:rsidR="00AA013A">
        <w:t xml:space="preserve">of </w:t>
      </w:r>
      <w:r w:rsidR="00C6428A" w:rsidRPr="00F94FA9">
        <w:t>activation by microbial metabolism. Mechanisms covered are azo, nitro, sul</w:t>
      </w:r>
      <w:r w:rsidR="00056900">
        <w:t>f</w:t>
      </w:r>
      <w:r w:rsidR="00C6428A" w:rsidRPr="00F94FA9">
        <w:t>oxide, N-oxide, C=C, O-N and C-N reduction</w:t>
      </w:r>
      <w:r w:rsidR="0038280B" w:rsidRPr="00F94FA9">
        <w:t>, deglycosylation, ring fission, desul</w:t>
      </w:r>
      <w:r w:rsidR="00056900">
        <w:t>f</w:t>
      </w:r>
      <w:r w:rsidR="0038280B" w:rsidRPr="00F94FA9">
        <w:t>ation, deamination, hydroxylation and dihydroxylation. Antibiotics potentiated some effects and antagonised others, although the mechanism</w:t>
      </w:r>
      <w:r w:rsidR="00AA013A">
        <w:t>s</w:t>
      </w:r>
      <w:r w:rsidR="007E4509" w:rsidRPr="00F94FA9">
        <w:t xml:space="preserve"> behind </w:t>
      </w:r>
      <w:r w:rsidR="00AA013A">
        <w:t>these</w:t>
      </w:r>
      <w:r w:rsidR="00AA013A" w:rsidRPr="00F94FA9">
        <w:t xml:space="preserve"> </w:t>
      </w:r>
      <w:r w:rsidR="007E4509" w:rsidRPr="00F94FA9">
        <w:t>difference</w:t>
      </w:r>
      <w:r w:rsidR="00AA013A">
        <w:t>s</w:t>
      </w:r>
      <w:r w:rsidR="007E4509" w:rsidRPr="00F94FA9">
        <w:t xml:space="preserve"> </w:t>
      </w:r>
      <w:r w:rsidR="00AA013A">
        <w:t>were</w:t>
      </w:r>
      <w:r w:rsidR="00AA013A" w:rsidRPr="00F94FA9">
        <w:t xml:space="preserve"> </w:t>
      </w:r>
      <w:r w:rsidR="007E4509" w:rsidRPr="00F94FA9">
        <w:t xml:space="preserve">not </w:t>
      </w:r>
      <w:r w:rsidR="003E1B5D" w:rsidRPr="00F94FA9">
        <w:t>d</w:t>
      </w:r>
      <w:r w:rsidR="007E4509" w:rsidRPr="00F94FA9">
        <w:t>iscussed.</w:t>
      </w:r>
      <w:r w:rsidR="001C2DF8" w:rsidRPr="00F94FA9">
        <w:t xml:space="preserve">    </w:t>
      </w:r>
    </w:p>
    <w:p w:rsidR="009C5A9E" w:rsidRDefault="009C5A9E" w:rsidP="00F40887">
      <w:pPr>
        <w:pStyle w:val="ListParagraph"/>
      </w:pPr>
    </w:p>
    <w:p w:rsidR="002B5678" w:rsidRDefault="001C2DF8" w:rsidP="00F40887">
      <w:pPr>
        <w:pStyle w:val="ListParagraph"/>
        <w:numPr>
          <w:ilvl w:val="2"/>
          <w:numId w:val="1"/>
        </w:numPr>
        <w:tabs>
          <w:tab w:val="left" w:pos="0"/>
        </w:tabs>
        <w:spacing w:before="240" w:line="240" w:lineRule="auto"/>
        <w:ind w:left="0" w:firstLine="0"/>
      </w:pPr>
      <w:r w:rsidRPr="00F94FA9">
        <w:t xml:space="preserve">  </w:t>
      </w:r>
      <w:r w:rsidR="00C16D06" w:rsidRPr="00F94FA9">
        <w:t>Curr</w:t>
      </w:r>
      <w:r w:rsidR="00C16D06" w:rsidRPr="009C5A9E">
        <w:rPr>
          <w:rFonts w:cs="Arial"/>
        </w:rPr>
        <w:t>ò</w:t>
      </w:r>
      <w:r w:rsidR="00C16D06" w:rsidRPr="00F94FA9">
        <w:t xml:space="preserve"> (2018) reviewed the action of the gut microbiota on various pharmaceuticals, with examples. These included the activation of prodrugs, such as</w:t>
      </w:r>
      <w:r w:rsidR="008E123C" w:rsidRPr="00F94FA9">
        <w:t xml:space="preserve"> </w:t>
      </w:r>
      <w:r w:rsidR="00C16D06" w:rsidRPr="00F94FA9">
        <w:t xml:space="preserve">aminosalicilates by </w:t>
      </w:r>
      <w:r w:rsidR="00C16D06" w:rsidRPr="009C5A9E">
        <w:rPr>
          <w:i/>
        </w:rPr>
        <w:t>Clostridium</w:t>
      </w:r>
      <w:r w:rsidR="00C16D06" w:rsidRPr="00F94FA9">
        <w:t xml:space="preserve"> and </w:t>
      </w:r>
      <w:r w:rsidR="00C16D06" w:rsidRPr="009C5A9E">
        <w:rPr>
          <w:i/>
        </w:rPr>
        <w:t>Eubacterium</w:t>
      </w:r>
      <w:r w:rsidRPr="00F94FA9">
        <w:t xml:space="preserve"> </w:t>
      </w:r>
      <w:r w:rsidR="00C16D06" w:rsidRPr="00F94FA9">
        <w:t xml:space="preserve">in the distal gut where the released drugs then </w:t>
      </w:r>
      <w:r w:rsidR="00ED76A3" w:rsidRPr="00F94FA9">
        <w:t>act as anti-inflammatories against colitis, and anthranoid lax</w:t>
      </w:r>
      <w:r w:rsidR="009F625D" w:rsidRPr="00F94FA9">
        <w:t>a</w:t>
      </w:r>
      <w:r w:rsidR="00ED76A3" w:rsidRPr="00F94FA9">
        <w:t xml:space="preserve">tives that are glycosides activated predominantly by </w:t>
      </w:r>
      <w:r w:rsidR="00ED76A3" w:rsidRPr="009C5A9E">
        <w:rPr>
          <w:i/>
        </w:rPr>
        <w:t>Bifidobacterium</w:t>
      </w:r>
      <w:r w:rsidR="00ED76A3" w:rsidRPr="00F94FA9">
        <w:t xml:space="preserve"> species. Digoxin </w:t>
      </w:r>
      <w:r w:rsidR="008678FF" w:rsidRPr="00F94FA9">
        <w:t>wa</w:t>
      </w:r>
      <w:r w:rsidR="00ED76A3" w:rsidRPr="00F94FA9">
        <w:t>s</w:t>
      </w:r>
      <w:r w:rsidR="00C96BC0" w:rsidRPr="00F94FA9">
        <w:t xml:space="preserve"> reduced and</w:t>
      </w:r>
      <w:r w:rsidR="00ED76A3" w:rsidRPr="00F94FA9">
        <w:t xml:space="preserve"> deactivated predominantly by the species </w:t>
      </w:r>
      <w:r w:rsidR="00ED76A3" w:rsidRPr="009C5A9E">
        <w:rPr>
          <w:i/>
        </w:rPr>
        <w:t>Eggerthella lenta</w:t>
      </w:r>
      <w:r w:rsidR="00ED76A3" w:rsidRPr="00F94FA9">
        <w:t>.</w:t>
      </w:r>
      <w:r w:rsidR="00ED76A3" w:rsidRPr="009C5A9E">
        <w:rPr>
          <w:i/>
        </w:rPr>
        <w:t xml:space="preserve"> </w:t>
      </w:r>
      <w:r w:rsidR="00B6378F" w:rsidRPr="00F94FA9">
        <w:t xml:space="preserve">Bacterial </w:t>
      </w:r>
      <w:r w:rsidR="00B6378F" w:rsidRPr="009C5A9E">
        <w:rPr>
          <w:rFonts w:ascii="Symbol" w:hAnsi="Symbol"/>
        </w:rPr>
        <w:t></w:t>
      </w:r>
      <w:r w:rsidR="00B6378F" w:rsidRPr="00F94FA9">
        <w:t>-glucuronidases have been implicated in the GI tract toxicity associated with the chemotherapeutic agent irinotecan and non-steroidal anti-inflammatory drugs</w:t>
      </w:r>
      <w:r w:rsidR="000872A3" w:rsidRPr="00F94FA9">
        <w:t>.</w:t>
      </w:r>
      <w:r w:rsidRPr="00F94FA9">
        <w:t xml:space="preserve"> </w:t>
      </w:r>
    </w:p>
    <w:p w:rsidR="009C5A9E" w:rsidRDefault="009C5A9E" w:rsidP="00F40887">
      <w:pPr>
        <w:pStyle w:val="ListParagraph"/>
      </w:pPr>
    </w:p>
    <w:p w:rsidR="009F625D" w:rsidRDefault="002B5678" w:rsidP="00F40887">
      <w:pPr>
        <w:pStyle w:val="ListParagraph"/>
        <w:numPr>
          <w:ilvl w:val="2"/>
          <w:numId w:val="1"/>
        </w:numPr>
        <w:tabs>
          <w:tab w:val="left" w:pos="0"/>
        </w:tabs>
        <w:spacing w:before="240" w:line="240" w:lineRule="auto"/>
        <w:ind w:left="0" w:firstLine="0"/>
      </w:pPr>
      <w:r w:rsidRPr="00F94FA9">
        <w:t xml:space="preserve">Jourova </w:t>
      </w:r>
      <w:r w:rsidRPr="009C5A9E">
        <w:rPr>
          <w:i/>
        </w:rPr>
        <w:t>et al</w:t>
      </w:r>
      <w:r w:rsidRPr="00F94FA9">
        <w:t xml:space="preserve"> (2016)</w:t>
      </w:r>
      <w:r w:rsidR="001C2DF8" w:rsidRPr="00F94FA9">
        <w:t xml:space="preserve"> </w:t>
      </w:r>
      <w:r w:rsidRPr="00F94FA9">
        <w:t>review</w:t>
      </w:r>
      <w:r w:rsidR="008678FF" w:rsidRPr="00F94FA9">
        <w:t>ed</w:t>
      </w:r>
      <w:r w:rsidRPr="00F94FA9">
        <w:t xml:space="preserve"> a wide range of enzymatic transformations that are known to take place in the gut, presumably by the microbiota but only a few </w:t>
      </w:r>
      <w:r w:rsidR="008678FF" w:rsidRPr="00F94FA9">
        <w:t>have been</w:t>
      </w:r>
      <w:r w:rsidRPr="00F94FA9">
        <w:t xml:space="preserve"> characterised to the</w:t>
      </w:r>
      <w:r w:rsidR="00C96BC0" w:rsidRPr="00F94FA9">
        <w:t xml:space="preserve"> </w:t>
      </w:r>
      <w:r w:rsidRPr="00F94FA9">
        <w:t>genus or species leve</w:t>
      </w:r>
      <w:r w:rsidR="00C96BC0" w:rsidRPr="00F94FA9">
        <w:t xml:space="preserve">l. Those identified in this paper </w:t>
      </w:r>
      <w:r w:rsidR="008678FF" w:rsidRPr="00F94FA9">
        <w:t>we</w:t>
      </w:r>
      <w:r w:rsidR="00C96BC0" w:rsidRPr="00F94FA9">
        <w:t>re:</w:t>
      </w:r>
      <w:r w:rsidR="008E123C" w:rsidRPr="00F94FA9">
        <w:t xml:space="preserve"> </w:t>
      </w:r>
      <w:r w:rsidR="00836D2D" w:rsidRPr="00F94FA9">
        <w:t>paracetamol</w:t>
      </w:r>
      <w:r w:rsidR="00C96BC0" w:rsidRPr="00F94FA9">
        <w:t xml:space="preserve"> O-sul</w:t>
      </w:r>
      <w:r w:rsidR="00056900">
        <w:t>f</w:t>
      </w:r>
      <w:r w:rsidR="00C96BC0" w:rsidRPr="00F94FA9">
        <w:t xml:space="preserve">ation and C-S cleavage of paracetamol-3-cysteine by </w:t>
      </w:r>
      <w:r w:rsidR="00C96BC0" w:rsidRPr="009C5A9E">
        <w:rPr>
          <w:i/>
        </w:rPr>
        <w:t>Clostridium difficile</w:t>
      </w:r>
      <w:r w:rsidR="00F94FA9">
        <w:t>, reduction of digoxin by</w:t>
      </w:r>
      <w:r w:rsidR="001C2DF8" w:rsidRPr="00F94FA9">
        <w:t xml:space="preserve"> </w:t>
      </w:r>
      <w:r w:rsidR="00C96BC0" w:rsidRPr="009C5A9E">
        <w:rPr>
          <w:i/>
        </w:rPr>
        <w:t>Eggerthella lenta</w:t>
      </w:r>
      <w:r w:rsidR="008E123C" w:rsidRPr="00F94FA9">
        <w:t xml:space="preserve">, </w:t>
      </w:r>
      <w:r w:rsidR="00C96BC0" w:rsidRPr="00F94FA9">
        <w:t xml:space="preserve">hydrolysis of the antiviral sorivudine by </w:t>
      </w:r>
      <w:r w:rsidR="00C96BC0" w:rsidRPr="009C5A9E">
        <w:rPr>
          <w:i/>
        </w:rPr>
        <w:t>Bacteroides</w:t>
      </w:r>
      <w:r w:rsidR="00C96BC0" w:rsidRPr="00F94FA9">
        <w:t xml:space="preserve"> spp, </w:t>
      </w:r>
      <w:r w:rsidR="005537CA" w:rsidRPr="00F94FA9">
        <w:t>nitro reduction</w:t>
      </w:r>
      <w:r w:rsidR="00C96BC0" w:rsidRPr="00F94FA9">
        <w:t xml:space="preserve"> of nitrazepam </w:t>
      </w:r>
      <w:r w:rsidR="00AA013A" w:rsidRPr="00F94FA9">
        <w:t xml:space="preserve">by </w:t>
      </w:r>
      <w:r w:rsidR="00AA013A" w:rsidRPr="009C5A9E">
        <w:rPr>
          <w:i/>
        </w:rPr>
        <w:t>Clostridium leptum</w:t>
      </w:r>
      <w:r w:rsidR="00AA013A" w:rsidRPr="00F94FA9">
        <w:t xml:space="preserve"> </w:t>
      </w:r>
      <w:r w:rsidR="00C96BC0" w:rsidRPr="00F94FA9">
        <w:t xml:space="preserve">leading to teratogenicity </w:t>
      </w:r>
      <w:r w:rsidR="00D97105" w:rsidRPr="00F94FA9">
        <w:t xml:space="preserve">and increased activity of the anthelmintic levanosole by thiazole ring opening caused by </w:t>
      </w:r>
      <w:r w:rsidR="00D97105" w:rsidRPr="009C5A9E">
        <w:rPr>
          <w:i/>
        </w:rPr>
        <w:t>Bacteroides</w:t>
      </w:r>
      <w:r w:rsidR="00D97105" w:rsidRPr="00F94FA9">
        <w:t xml:space="preserve"> and </w:t>
      </w:r>
      <w:r w:rsidR="00D97105" w:rsidRPr="009C5A9E">
        <w:rPr>
          <w:i/>
        </w:rPr>
        <w:t>Clostridium</w:t>
      </w:r>
      <w:r w:rsidR="00D97105" w:rsidRPr="00F94FA9">
        <w:t xml:space="preserve"> spp.</w:t>
      </w:r>
      <w:r w:rsidR="001C2DF8" w:rsidRPr="00F94FA9">
        <w:t xml:space="preserve">  </w:t>
      </w:r>
    </w:p>
    <w:p w:rsidR="009C5A9E" w:rsidRDefault="009C5A9E" w:rsidP="00F40887">
      <w:pPr>
        <w:pStyle w:val="ListParagraph"/>
      </w:pPr>
    </w:p>
    <w:p w:rsidR="00073D9B" w:rsidRDefault="00186B36" w:rsidP="00F40887">
      <w:pPr>
        <w:pStyle w:val="ListParagraph"/>
        <w:numPr>
          <w:ilvl w:val="2"/>
          <w:numId w:val="1"/>
        </w:numPr>
        <w:tabs>
          <w:tab w:val="left" w:pos="0"/>
        </w:tabs>
        <w:spacing w:before="240" w:line="240" w:lineRule="auto"/>
        <w:ind w:left="0" w:firstLine="0"/>
      </w:pPr>
      <w:r w:rsidRPr="00F94FA9">
        <w:t xml:space="preserve">The </w:t>
      </w:r>
      <w:r w:rsidR="00277B5F">
        <w:t xml:space="preserve">gut microbial </w:t>
      </w:r>
      <w:r w:rsidRPr="00F94FA9">
        <w:t xml:space="preserve">metabolite </w:t>
      </w:r>
      <w:r w:rsidRPr="009C5A9E">
        <w:rPr>
          <w:i/>
        </w:rPr>
        <w:t>p</w:t>
      </w:r>
      <w:r w:rsidRPr="00F94FA9">
        <w:t>-cresol</w:t>
      </w:r>
      <w:r w:rsidR="00F17B6D">
        <w:t>,</w:t>
      </w:r>
      <w:r w:rsidR="00073D9B" w:rsidRPr="00F94FA9">
        <w:t xml:space="preserve"> derived from the protein amino acid tyrosine</w:t>
      </w:r>
      <w:r>
        <w:t>,</w:t>
      </w:r>
      <w:r w:rsidR="00073D9B" w:rsidRPr="00F94FA9">
        <w:t xml:space="preserve"> appears to compete for the same O-sul</w:t>
      </w:r>
      <w:r w:rsidR="00056900">
        <w:t>f</w:t>
      </w:r>
      <w:r w:rsidR="00073D9B" w:rsidRPr="00F94FA9">
        <w:t>ation pathway as paracetamol</w:t>
      </w:r>
      <w:r w:rsidR="00277B5F">
        <w:t xml:space="preserve"> in the liver</w:t>
      </w:r>
      <w:r w:rsidR="00073D9B" w:rsidRPr="00F94FA9">
        <w:t>. The presence of a unique gut microbial community with different metabolic capacities may thus explain the difference in paracetamol metabolism and potential toxicity in different individuals (</w:t>
      </w:r>
      <w:r w:rsidR="002727A2" w:rsidRPr="00F94FA9">
        <w:t>Cla</w:t>
      </w:r>
      <w:r w:rsidR="00F94FA9">
        <w:t>yton</w:t>
      </w:r>
      <w:r w:rsidR="002727A2" w:rsidRPr="009C5A9E">
        <w:rPr>
          <w:i/>
        </w:rPr>
        <w:t xml:space="preserve"> et al</w:t>
      </w:r>
      <w:r w:rsidR="002727A2" w:rsidRPr="00F94FA9">
        <w:t>, 2009)</w:t>
      </w:r>
    </w:p>
    <w:p w:rsidR="009C5A9E" w:rsidRDefault="009C5A9E" w:rsidP="00F40887">
      <w:pPr>
        <w:pStyle w:val="ListParagraph"/>
      </w:pPr>
    </w:p>
    <w:p w:rsidR="007C02D6" w:rsidRDefault="007C02D6" w:rsidP="00F40887">
      <w:pPr>
        <w:pStyle w:val="ListParagraph"/>
        <w:numPr>
          <w:ilvl w:val="2"/>
          <w:numId w:val="1"/>
        </w:numPr>
        <w:tabs>
          <w:tab w:val="left" w:pos="0"/>
        </w:tabs>
        <w:spacing w:before="240" w:line="240" w:lineRule="auto"/>
        <w:ind w:left="0" w:firstLine="0"/>
      </w:pPr>
      <w:bookmarkStart w:id="0" w:name="_Hlk46848720"/>
      <w:r w:rsidRPr="00F94FA9">
        <w:t xml:space="preserve">Velmurugan </w:t>
      </w:r>
      <w:r w:rsidRPr="009C5A9E">
        <w:rPr>
          <w:i/>
        </w:rPr>
        <w:t>et al</w:t>
      </w:r>
      <w:r w:rsidRPr="00F94FA9">
        <w:t xml:space="preserve"> (2017) analysed the blood biochemistry of people who were occupationally exposed to organophosphates and dosed BALB/c mice with monocrotophos</w:t>
      </w:r>
      <w:r w:rsidR="00F4229D" w:rsidRPr="00F94FA9">
        <w:t xml:space="preserve"> (MCP)</w:t>
      </w:r>
      <w:r w:rsidRPr="00F94FA9">
        <w:t xml:space="preserve"> to assess effects on glucose tolerance related to </w:t>
      </w:r>
      <w:r w:rsidR="00836D2D" w:rsidRPr="00F94FA9">
        <w:t>metabolism</w:t>
      </w:r>
      <w:r w:rsidRPr="00F94FA9">
        <w:t xml:space="preserve"> by the gut microbiota</w:t>
      </w:r>
      <w:r w:rsidR="003567B6" w:rsidRPr="00F94FA9">
        <w:t xml:space="preserve">. In the workers, </w:t>
      </w:r>
      <w:r w:rsidR="008E123C" w:rsidRPr="00F94FA9">
        <w:t>e</w:t>
      </w:r>
      <w:r w:rsidR="00766C89" w:rsidRPr="00F94FA9">
        <w:t>ighteen percent of the people directly exposed to O</w:t>
      </w:r>
      <w:r w:rsidR="008E123C" w:rsidRPr="00F94FA9">
        <w:t>P</w:t>
      </w:r>
      <w:r w:rsidR="00766C89" w:rsidRPr="00F94FA9">
        <w:t>s had diabetes compared with 6% of those indirectly exposed and h</w:t>
      </w:r>
      <w:r w:rsidR="00F003F4" w:rsidRPr="00F94FA9">
        <w:t>a</w:t>
      </w:r>
      <w:r w:rsidR="00766C89" w:rsidRPr="00F94FA9">
        <w:t>lf of those with the condition in each group had no family history of the disease</w:t>
      </w:r>
      <w:bookmarkStart w:id="1" w:name="_Hlk46848640"/>
      <w:bookmarkEnd w:id="0"/>
      <w:r w:rsidR="00FC6264">
        <w:t>.</w:t>
      </w:r>
      <w:bookmarkEnd w:id="1"/>
      <w:r w:rsidR="00F17B6D">
        <w:t xml:space="preserve"> </w:t>
      </w:r>
      <w:r w:rsidR="009342F1" w:rsidRPr="00F94FA9">
        <w:t xml:space="preserve">BALB/c mice were administered </w:t>
      </w:r>
      <w:r w:rsidR="00F4229D" w:rsidRPr="00F94FA9">
        <w:t>MCP</w:t>
      </w:r>
      <w:r w:rsidR="009342F1" w:rsidRPr="00F94FA9">
        <w:t xml:space="preserve"> orally in drinking water at 28 </w:t>
      </w:r>
      <w:r w:rsidR="009342F1" w:rsidRPr="009C5A9E">
        <w:rPr>
          <w:rFonts w:ascii="Symbol" w:hAnsi="Symbol"/>
        </w:rPr>
        <w:t></w:t>
      </w:r>
      <w:r w:rsidR="009342F1" w:rsidRPr="00F94FA9">
        <w:t xml:space="preserve">g/kg bw </w:t>
      </w:r>
      <w:r w:rsidR="00143AD8">
        <w:t xml:space="preserve">per day </w:t>
      </w:r>
      <w:r w:rsidR="009342F1" w:rsidRPr="00F94FA9">
        <w:t>(10</w:t>
      </w:r>
      <w:r w:rsidR="00F17B6D">
        <w:t xml:space="preserve"> times</w:t>
      </w:r>
      <w:r w:rsidR="009342F1" w:rsidRPr="00F94FA9">
        <w:t xml:space="preserve"> the theoretical maximum daily intake)</w:t>
      </w:r>
      <w:r w:rsidR="00F4229D" w:rsidRPr="00F94FA9">
        <w:t xml:space="preserve"> for 180 days. The MCP treated mice showed increased blood glucose levels (p&lt;0.0001) beginning after 60 days’ treatment without changes in body weight o</w:t>
      </w:r>
      <w:r w:rsidR="008E123C" w:rsidRPr="00F94FA9">
        <w:t>r</w:t>
      </w:r>
      <w:r w:rsidR="00F4229D" w:rsidRPr="00F94FA9">
        <w:t xml:space="preserve"> plasma AChE </w:t>
      </w:r>
      <w:r w:rsidR="00350AB7" w:rsidRPr="00F94FA9">
        <w:t>activity</w:t>
      </w:r>
      <w:r w:rsidR="00F4229D" w:rsidRPr="00F94FA9">
        <w:t>. Lipid peroxidation, indicating oxidative stress</w:t>
      </w:r>
      <w:r w:rsidR="008E123C" w:rsidRPr="00F94FA9">
        <w:t>,</w:t>
      </w:r>
      <w:r w:rsidR="00F4229D" w:rsidRPr="00F94FA9">
        <w:t xml:space="preserve"> was also increased (p&lt; 0.01). Faecal transplants between MCP-fed and control animals suggested that the gut microbiota were responsible for the observed glucose intolerance.</w:t>
      </w:r>
      <w:r w:rsidR="006E525F" w:rsidRPr="00F94FA9">
        <w:t xml:space="preserve"> </w:t>
      </w:r>
      <w:r w:rsidR="00FB5E43" w:rsidRPr="00F94FA9">
        <w:t xml:space="preserve">The </w:t>
      </w:r>
      <w:r w:rsidR="006E525F" w:rsidRPr="00F94FA9">
        <w:t>OP</w:t>
      </w:r>
      <w:r w:rsidR="00FB5E43" w:rsidRPr="00F94FA9">
        <w:t xml:space="preserve"> was found to induce faecal expression of enzymes for glucose and nucleotide metabolism, phosphate tran</w:t>
      </w:r>
      <w:r w:rsidR="004A2BDA" w:rsidRPr="00F94FA9">
        <w:t>s</w:t>
      </w:r>
      <w:r w:rsidR="00FB5E43" w:rsidRPr="00F94FA9">
        <w:t>port and vit</w:t>
      </w:r>
      <w:r w:rsidR="004A2BDA" w:rsidRPr="00F94FA9">
        <w:t>a</w:t>
      </w:r>
      <w:r w:rsidR="00FB5E43" w:rsidRPr="00F94FA9">
        <w:t xml:space="preserve">min biosynthesis. </w:t>
      </w:r>
      <w:r w:rsidR="00F54CC6">
        <w:t>It was suggested that a</w:t>
      </w:r>
      <w:r w:rsidR="00FB5E43" w:rsidRPr="00F94FA9">
        <w:t xml:space="preserve">cetate produced by microbial metabolism of the OP was </w:t>
      </w:r>
      <w:r w:rsidR="00F54CC6">
        <w:t xml:space="preserve">responsible for the </w:t>
      </w:r>
      <w:r w:rsidR="00FB5E43" w:rsidRPr="00F94FA9">
        <w:t xml:space="preserve">gluconeogenesis, </w:t>
      </w:r>
      <w:r w:rsidR="004A2BDA" w:rsidRPr="00F94FA9">
        <w:t xml:space="preserve">and a </w:t>
      </w:r>
      <w:r w:rsidR="00F54CC6">
        <w:t xml:space="preserve">non-significant </w:t>
      </w:r>
      <w:r w:rsidR="004A2BDA" w:rsidRPr="00F94FA9">
        <w:t>trend for higher acetate levels was found in the faeces of the diabetic OP workers.</w:t>
      </w:r>
    </w:p>
    <w:p w:rsidR="009C5A9E" w:rsidRDefault="009C5A9E" w:rsidP="00F40887">
      <w:pPr>
        <w:pStyle w:val="ListParagraph"/>
        <w:tabs>
          <w:tab w:val="left" w:pos="0"/>
        </w:tabs>
        <w:spacing w:before="240" w:line="240" w:lineRule="auto"/>
        <w:ind w:left="0"/>
      </w:pPr>
    </w:p>
    <w:p w:rsidR="00E94DDD" w:rsidRDefault="00E94DDD" w:rsidP="00F40887">
      <w:pPr>
        <w:pStyle w:val="ListParagraph"/>
        <w:numPr>
          <w:ilvl w:val="2"/>
          <w:numId w:val="1"/>
        </w:numPr>
        <w:tabs>
          <w:tab w:val="left" w:pos="0"/>
        </w:tabs>
        <w:spacing w:before="240" w:line="240" w:lineRule="auto"/>
        <w:ind w:left="0" w:firstLine="0"/>
      </w:pPr>
      <w:r w:rsidRPr="00F94FA9">
        <w:t>Humblot</w:t>
      </w:r>
      <w:r w:rsidRPr="00F52B08">
        <w:rPr>
          <w:i/>
        </w:rPr>
        <w:t xml:space="preserve"> et al </w:t>
      </w:r>
      <w:r w:rsidRPr="00F94FA9">
        <w:t xml:space="preserve">(2007) investigated the possibility that bacterial </w:t>
      </w:r>
      <w:r w:rsidRPr="00F52B08">
        <w:rPr>
          <w:rFonts w:ascii="Symbol" w:hAnsi="Symbol"/>
        </w:rPr>
        <w:t></w:t>
      </w:r>
      <w:r w:rsidRPr="00F94FA9">
        <w:t>-glucuronidase could enhance the carcinogenesis of the food process genotoxic compound 2-amino-3-methylimidazo[4,5-</w:t>
      </w:r>
      <w:r w:rsidRPr="00F52B08">
        <w:rPr>
          <w:i/>
        </w:rPr>
        <w:t>f</w:t>
      </w:r>
      <w:r w:rsidRPr="00F94FA9">
        <w:t xml:space="preserve">] quinoline (IQ) by reversing host phase 2 glucuronidation when the conjugate re-enters the gut lumen in bile. Gnotobiotic male F344 rats were gavage dosed with 1 ml of an overnight culture of </w:t>
      </w:r>
      <w:r w:rsidRPr="003738AC">
        <w:rPr>
          <w:i/>
          <w:iCs/>
        </w:rPr>
        <w:t>E. coli</w:t>
      </w:r>
      <w:r w:rsidRPr="00F94FA9">
        <w:t xml:space="preserve"> TG1 that either expressed or was deficient in </w:t>
      </w:r>
      <w:r w:rsidRPr="00F52B08">
        <w:rPr>
          <w:rFonts w:ascii="Symbol" w:hAnsi="Symbol"/>
        </w:rPr>
        <w:t></w:t>
      </w:r>
      <w:r w:rsidRPr="00F94FA9">
        <w:t xml:space="preserve">-glucuronidase. The rats then received 90 mg/kg bw IQ or corn oil and were culled 4 hours later. Comet assays on colonocytes and hepatocytes from the treated rats showed that the presence of </w:t>
      </w:r>
      <w:r w:rsidRPr="00F52B08">
        <w:rPr>
          <w:rFonts w:ascii="Symbol" w:hAnsi="Symbol"/>
        </w:rPr>
        <w:t></w:t>
      </w:r>
      <w:r w:rsidRPr="00F94FA9">
        <w:t>-glucuronidase led to a much longer tail length in the former cells than the latter, suggesting greater DNA damage. Thus, the authors suggested that the microbiota could play a role in the colonic carcinogenicity of food borne IQ</w:t>
      </w:r>
      <w:r w:rsidR="008D7798">
        <w:t xml:space="preserve">, </w:t>
      </w:r>
      <w:r w:rsidR="00AA14AA">
        <w:t>although the dose used is likely to greatly exceed that to which humans are exposed via the diet.</w:t>
      </w:r>
    </w:p>
    <w:p w:rsidR="00F52B08" w:rsidRDefault="00F52B08" w:rsidP="00F40887">
      <w:pPr>
        <w:pStyle w:val="ListParagraph"/>
      </w:pPr>
    </w:p>
    <w:p w:rsidR="00B364D6" w:rsidRDefault="00B364D6" w:rsidP="00F40887">
      <w:pPr>
        <w:pStyle w:val="ListParagraph"/>
        <w:numPr>
          <w:ilvl w:val="2"/>
          <w:numId w:val="1"/>
        </w:numPr>
        <w:tabs>
          <w:tab w:val="left" w:pos="0"/>
        </w:tabs>
        <w:spacing w:before="240" w:line="240" w:lineRule="auto"/>
        <w:ind w:left="0" w:firstLine="0"/>
      </w:pPr>
      <w:r w:rsidRPr="00F94FA9">
        <w:t xml:space="preserve">Beer </w:t>
      </w:r>
      <w:r w:rsidRPr="00F52B08">
        <w:rPr>
          <w:i/>
        </w:rPr>
        <w:t xml:space="preserve">et al </w:t>
      </w:r>
      <w:r w:rsidRPr="00F94FA9">
        <w:t xml:space="preserve">(2019) examined the glycerol-dependant metabolism of heterocyclic aromatic amines (HAA) by the human faecal microbiota. HAAs are process contaminants of meat cooking, some of which are known experimental animal carcinogens and potential human carcinogens (IARC 2015). A range of HAAs were incubated with human faecal suspensions under strictly anaerobic conditions in the presence and absence of glycerol. Glycerol is known to be metabolised by various gut bacterial species, including </w:t>
      </w:r>
      <w:r w:rsidRPr="00F52B08">
        <w:rPr>
          <w:i/>
        </w:rPr>
        <w:t>Lactobacillus</w:t>
      </w:r>
      <w:r w:rsidRPr="00F94FA9">
        <w:t xml:space="preserve">, to the reactive compound reuterin. Metabolites were analysed by RP-HPLC-TOF-MS/MS. A range of reuterin conjugation products were recovered. Reuterin conjugation blocks the exocytic amino group of HAAs </w:t>
      </w:r>
      <w:r w:rsidR="00F003F4" w:rsidRPr="00F94FA9">
        <w:t xml:space="preserve">and </w:t>
      </w:r>
      <w:r w:rsidRPr="00F94FA9">
        <w:t>is thought to reduce their ability to bind DNA.</w:t>
      </w:r>
    </w:p>
    <w:p w:rsidR="00F52B08" w:rsidRDefault="00F52B08" w:rsidP="00F40887">
      <w:pPr>
        <w:pStyle w:val="ListParagraph"/>
      </w:pPr>
    </w:p>
    <w:p w:rsidR="00F52B08" w:rsidRDefault="00F52B08" w:rsidP="00F40887">
      <w:pPr>
        <w:pStyle w:val="ListParagraph"/>
      </w:pPr>
    </w:p>
    <w:p w:rsidR="00501B4D" w:rsidRPr="00396130" w:rsidRDefault="00501B4D" w:rsidP="00F40887">
      <w:pPr>
        <w:pStyle w:val="ListParagraph"/>
        <w:tabs>
          <w:tab w:val="left" w:pos="0"/>
        </w:tabs>
        <w:spacing w:before="240" w:line="240" w:lineRule="auto"/>
        <w:ind w:left="0"/>
        <w:rPr>
          <w:b/>
          <w:bCs/>
          <w:iCs/>
        </w:rPr>
      </w:pPr>
      <w:r w:rsidRPr="00396130">
        <w:rPr>
          <w:b/>
          <w:bCs/>
          <w:iCs/>
        </w:rPr>
        <w:t>Statins</w:t>
      </w:r>
    </w:p>
    <w:p w:rsidR="00F52B08" w:rsidRDefault="00F52B08" w:rsidP="00F40887">
      <w:pPr>
        <w:pStyle w:val="ListParagraph"/>
      </w:pPr>
    </w:p>
    <w:p w:rsidR="00141F1B" w:rsidRDefault="006513CF" w:rsidP="00F40887">
      <w:pPr>
        <w:pStyle w:val="ListParagraph"/>
        <w:numPr>
          <w:ilvl w:val="2"/>
          <w:numId w:val="1"/>
        </w:numPr>
        <w:tabs>
          <w:tab w:val="left" w:pos="0"/>
        </w:tabs>
        <w:spacing w:before="240" w:line="240" w:lineRule="auto"/>
        <w:ind w:left="0" w:firstLine="0"/>
      </w:pPr>
      <w:r w:rsidRPr="00F94FA9">
        <w:t xml:space="preserve">Individuals are known to differ in their </w:t>
      </w:r>
      <w:r w:rsidR="00AA5338" w:rsidRPr="00F94FA9">
        <w:t xml:space="preserve">hypolipidaemic </w:t>
      </w:r>
      <w:r w:rsidRPr="00F94FA9">
        <w:t xml:space="preserve">response to treatment with statins. </w:t>
      </w:r>
      <w:r w:rsidR="00141F1B" w:rsidRPr="00F94FA9">
        <w:t xml:space="preserve">Kaddurah-Daouk </w:t>
      </w:r>
      <w:r w:rsidR="00141F1B" w:rsidRPr="00F52B08">
        <w:rPr>
          <w:i/>
        </w:rPr>
        <w:t>et al</w:t>
      </w:r>
      <w:r w:rsidR="00141F1B" w:rsidRPr="00F94FA9">
        <w:t xml:space="preserve"> (2011) studied the potential genetic and non-genetic differences between good-and poor-responders to simvastatin in relation to the enteric metabolome. Plasma samples were analysed from participants in a clinical trial involving 944 Caucasian and </w:t>
      </w:r>
      <w:proofErr w:type="gramStart"/>
      <w:r w:rsidR="00141F1B" w:rsidRPr="00F94FA9">
        <w:t>African-American</w:t>
      </w:r>
      <w:proofErr w:type="gramEnd"/>
      <w:r w:rsidR="00141F1B" w:rsidRPr="00F94FA9">
        <w:t xml:space="preserve"> men and women with total cholesterol levels of 160 – 400 mg/dl (4.2 – 10.4 mmol/l), who were treated with 40 mg simvastatin/day for 6 weeks. There was a strong relationship between response to the statin and a higher level of secondary, bacterially derived, bile acids. The level of coprestanol, the reduced metabolite of cholesterol</w:t>
      </w:r>
      <w:r w:rsidR="008E123C" w:rsidRPr="00F94FA9">
        <w:t>,</w:t>
      </w:r>
      <w:r w:rsidR="00141F1B" w:rsidRPr="00F94FA9">
        <w:t xml:space="preserve"> produced in the gut also correlated positively with good response to the statin. The authors suggest that such knowledge could lead to developing microbiota-altering dietary interventions that could improve patients’ response to statins.</w:t>
      </w:r>
    </w:p>
    <w:p w:rsidR="00F52B08" w:rsidRDefault="00F52B08" w:rsidP="00F40887">
      <w:pPr>
        <w:pStyle w:val="ListParagraph"/>
        <w:tabs>
          <w:tab w:val="left" w:pos="0"/>
        </w:tabs>
        <w:spacing w:before="240" w:line="240" w:lineRule="auto"/>
        <w:ind w:left="0"/>
      </w:pPr>
    </w:p>
    <w:p w:rsidR="00F52B08" w:rsidRDefault="004372FE" w:rsidP="003738AC">
      <w:pPr>
        <w:pStyle w:val="ListParagraph"/>
        <w:numPr>
          <w:ilvl w:val="2"/>
          <w:numId w:val="1"/>
        </w:numPr>
        <w:tabs>
          <w:tab w:val="left" w:pos="0"/>
        </w:tabs>
        <w:spacing w:before="240" w:line="240" w:lineRule="auto"/>
        <w:ind w:left="0" w:firstLine="0"/>
      </w:pPr>
      <w:r w:rsidRPr="00F94FA9">
        <w:t xml:space="preserve">The statin lovastatin is a prodrug that requires hydrolysis to its </w:t>
      </w:r>
      <w:r w:rsidRPr="00355290">
        <w:rPr>
          <w:rFonts w:ascii="Symbol" w:hAnsi="Symbol"/>
        </w:rPr>
        <w:t></w:t>
      </w:r>
      <w:r w:rsidRPr="00F94FA9">
        <w:t xml:space="preserve">-hydroxy metabolite to be activate </w:t>
      </w:r>
      <w:r w:rsidR="00DD57D0">
        <w:t>as an</w:t>
      </w:r>
      <w:r w:rsidR="00DD57D0" w:rsidRPr="00F94FA9">
        <w:t xml:space="preserve"> </w:t>
      </w:r>
      <w:r w:rsidRPr="00F94FA9">
        <w:t xml:space="preserve">HMG-CoA reductase-inhibitor. The observation that a cell-free preparation of rat or human faeces, known as fecalase, caused lovastatin degradation prompted </w:t>
      </w:r>
      <w:r w:rsidR="0068230C" w:rsidRPr="00F94FA9">
        <w:t>Y</w:t>
      </w:r>
      <w:r w:rsidRPr="00F94FA9">
        <w:t xml:space="preserve">oo </w:t>
      </w:r>
      <w:r w:rsidRPr="00355290">
        <w:rPr>
          <w:i/>
        </w:rPr>
        <w:t xml:space="preserve">et al </w:t>
      </w:r>
      <w:r w:rsidRPr="00F94FA9">
        <w:t>(2014) to investigate the involvement of the gut microbiota in the activation of this drug.</w:t>
      </w:r>
      <w:r w:rsidR="00827A43" w:rsidRPr="00F94FA9">
        <w:t xml:space="preserve"> Both human and rat fecalase preparations were found to metabolise lovastatin, but when the rat preparation was made from the faeces of animals that had been treated with ampicillin or a mixture of cefadroxil, oxytetracycline and erythromycin, levels of activity were less than half that of the control.</w:t>
      </w:r>
      <w:r w:rsidR="0068230C" w:rsidRPr="00F94FA9">
        <w:t xml:space="preserve"> </w:t>
      </w:r>
      <w:r w:rsidR="00090BEB" w:rsidRPr="00F94FA9">
        <w:t xml:space="preserve">In live rats, the activity of three measured microbial enzymes </w:t>
      </w:r>
      <w:r w:rsidR="00D910FC" w:rsidRPr="00F94FA9">
        <w:t>–</w:t>
      </w:r>
      <w:r w:rsidR="00090BEB" w:rsidRPr="00F94FA9">
        <w:t xml:space="preserve"> </w:t>
      </w:r>
      <w:r w:rsidR="00D910FC" w:rsidRPr="00355290">
        <w:rPr>
          <w:rFonts w:ascii="Symbol" w:hAnsi="Symbol"/>
        </w:rPr>
        <w:t></w:t>
      </w:r>
      <w:r w:rsidR="00D910FC" w:rsidRPr="00F94FA9">
        <w:t xml:space="preserve">-D-glucuronidase, </w:t>
      </w:r>
      <w:r w:rsidR="00D910FC" w:rsidRPr="00355290">
        <w:rPr>
          <w:rFonts w:ascii="Symbol" w:hAnsi="Symbol"/>
        </w:rPr>
        <w:t></w:t>
      </w:r>
      <w:r w:rsidR="00D910FC" w:rsidRPr="00F94FA9">
        <w:t xml:space="preserve">-L-rhamnosidase and </w:t>
      </w:r>
      <w:r w:rsidR="00D910FC" w:rsidRPr="00355290">
        <w:rPr>
          <w:rFonts w:ascii="Symbol" w:hAnsi="Symbol"/>
        </w:rPr>
        <w:t></w:t>
      </w:r>
      <w:r w:rsidR="00D910FC" w:rsidRPr="00F94FA9">
        <w:t xml:space="preserve">-D-glucosidase was reduced to almost zero after 3 days of antibiotic treatment. </w:t>
      </w:r>
      <w:bookmarkStart w:id="2" w:name="_Hlk46849170"/>
      <w:r w:rsidR="0068230C" w:rsidRPr="00F94FA9">
        <w:t xml:space="preserve">Metabolism of the statin by the gut microbiota contributed almost as much as that by the liver and the authors suggested therefore that </w:t>
      </w:r>
      <w:r w:rsidR="00090BEB" w:rsidRPr="00F94FA9">
        <w:t xml:space="preserve">patients who </w:t>
      </w:r>
      <w:r w:rsidR="00DD57D0">
        <w:t xml:space="preserve">were </w:t>
      </w:r>
      <w:r w:rsidR="0068230C" w:rsidRPr="00F94FA9">
        <w:t>co-administ</w:t>
      </w:r>
      <w:r w:rsidR="00090BEB" w:rsidRPr="00F94FA9">
        <w:t>ered</w:t>
      </w:r>
      <w:r w:rsidR="0068230C" w:rsidRPr="00F94FA9">
        <w:t xml:space="preserve"> an antibiotic would have a reduced level of the activated metabolite and hence reduced effectiveness of lovastatin</w:t>
      </w:r>
      <w:r w:rsidR="00F17B6D">
        <w:t>.</w:t>
      </w:r>
      <w:r w:rsidR="00355290">
        <w:t xml:space="preserve"> </w:t>
      </w:r>
      <w:r w:rsidR="00F17B6D">
        <w:t>However, lovastatin</w:t>
      </w:r>
      <w:r w:rsidR="00355290">
        <w:t xml:space="preserve"> activation is also known to take place in the serum</w:t>
      </w:r>
      <w:r w:rsidR="004D40F3">
        <w:t xml:space="preserve"> (Tang and Kalow, 1995), which may </w:t>
      </w:r>
      <w:r w:rsidR="005B4C04">
        <w:t xml:space="preserve">result in </w:t>
      </w:r>
      <w:r w:rsidR="004D40F3">
        <w:t xml:space="preserve"> </w:t>
      </w:r>
      <w:r w:rsidR="005B4C04">
        <w:t>continued</w:t>
      </w:r>
      <w:r w:rsidR="004D40F3">
        <w:t xml:space="preserve"> activation of this statin </w:t>
      </w:r>
      <w:r w:rsidR="005B4C04">
        <w:t>in the absence of</w:t>
      </w:r>
      <w:r w:rsidR="004D40F3">
        <w:t xml:space="preserve"> the microbiota</w:t>
      </w:r>
      <w:bookmarkEnd w:id="2"/>
    </w:p>
    <w:p w:rsidR="00F17B6D" w:rsidRDefault="00F17B6D" w:rsidP="00F17B6D">
      <w:pPr>
        <w:pStyle w:val="ListParagraph"/>
        <w:tabs>
          <w:tab w:val="left" w:pos="0"/>
        </w:tabs>
        <w:spacing w:before="240" w:line="240" w:lineRule="auto"/>
        <w:ind w:left="0"/>
      </w:pPr>
    </w:p>
    <w:p w:rsidR="00F17B6D" w:rsidRDefault="00F17B6D" w:rsidP="00F17B6D">
      <w:pPr>
        <w:pStyle w:val="ListParagraph"/>
        <w:tabs>
          <w:tab w:val="left" w:pos="0"/>
        </w:tabs>
        <w:spacing w:before="240" w:line="240" w:lineRule="auto"/>
        <w:ind w:left="0"/>
      </w:pPr>
    </w:p>
    <w:p w:rsidR="00B15CB9" w:rsidRPr="00396130" w:rsidRDefault="00B15CB9" w:rsidP="00F40887">
      <w:pPr>
        <w:pStyle w:val="ListParagraph"/>
        <w:tabs>
          <w:tab w:val="left" w:pos="0"/>
        </w:tabs>
        <w:spacing w:before="240" w:line="240" w:lineRule="auto"/>
        <w:ind w:left="0"/>
        <w:rPr>
          <w:b/>
          <w:bCs/>
          <w:iCs/>
        </w:rPr>
      </w:pPr>
      <w:r w:rsidRPr="00396130">
        <w:rPr>
          <w:b/>
          <w:bCs/>
          <w:iCs/>
        </w:rPr>
        <w:t>Probiotics</w:t>
      </w:r>
    </w:p>
    <w:p w:rsidR="00F52B08" w:rsidRPr="00F52B08" w:rsidRDefault="00F52B08" w:rsidP="00F40887">
      <w:pPr>
        <w:pStyle w:val="ListParagraph"/>
        <w:tabs>
          <w:tab w:val="left" w:pos="0"/>
        </w:tabs>
        <w:spacing w:before="240" w:line="240" w:lineRule="auto"/>
        <w:ind w:left="0"/>
      </w:pPr>
    </w:p>
    <w:p w:rsidR="00B15CB9" w:rsidRDefault="00825B93" w:rsidP="00F40887">
      <w:pPr>
        <w:pStyle w:val="ListParagraph"/>
        <w:numPr>
          <w:ilvl w:val="2"/>
          <w:numId w:val="1"/>
        </w:numPr>
        <w:tabs>
          <w:tab w:val="left" w:pos="0"/>
        </w:tabs>
        <w:spacing w:before="240" w:line="240" w:lineRule="auto"/>
        <w:ind w:left="0" w:firstLine="0"/>
      </w:pPr>
      <w:r>
        <w:t>Unno</w:t>
      </w:r>
      <w:r w:rsidRPr="00F52B08">
        <w:rPr>
          <w:i/>
        </w:rPr>
        <w:t xml:space="preserve"> et al</w:t>
      </w:r>
      <w:r w:rsidR="006226F9">
        <w:t xml:space="preserve"> (2015) fed</w:t>
      </w:r>
      <w:r w:rsidR="0005022B">
        <w:t xml:space="preserve"> six healthy female volunteers</w:t>
      </w:r>
      <w:r w:rsidR="006226F9">
        <w:t xml:space="preserve"> 2 servings daily</w:t>
      </w:r>
      <w:r w:rsidR="0005022B">
        <w:t xml:space="preserve"> </w:t>
      </w:r>
      <w:r w:rsidR="006226F9">
        <w:t xml:space="preserve">of a fermented milk product containing </w:t>
      </w:r>
      <w:r w:rsidR="006226F9" w:rsidRPr="00F52B08">
        <w:rPr>
          <w:i/>
        </w:rPr>
        <w:t xml:space="preserve">Lactobacillus acidophilus, Lactobacillus brevis, Bifidobacterium longum, Lactobacillus casei </w:t>
      </w:r>
      <w:r w:rsidR="006226F9">
        <w:t xml:space="preserve">and </w:t>
      </w:r>
      <w:r w:rsidR="006226F9" w:rsidRPr="00F52B08">
        <w:rPr>
          <w:i/>
        </w:rPr>
        <w:t>Streptococcus thermphilus</w:t>
      </w:r>
      <w:r w:rsidR="00334024" w:rsidRPr="00334024">
        <w:t xml:space="preserve"> </w:t>
      </w:r>
      <w:r w:rsidR="00334024">
        <w:t>for three weeks</w:t>
      </w:r>
      <w:r w:rsidR="0005022B" w:rsidRPr="00F52B08">
        <w:rPr>
          <w:i/>
        </w:rPr>
        <w:t xml:space="preserve">. </w:t>
      </w:r>
      <w:r w:rsidR="0005022B">
        <w:t>Faecal samples for analysis were collected from each volunteer at 3 time points</w:t>
      </w:r>
      <w:r w:rsidR="00334024">
        <w:t>;</w:t>
      </w:r>
      <w:r w:rsidR="0005022B">
        <w:t xml:space="preserve"> before ingestion of the product, at the end of the </w:t>
      </w:r>
      <w:proofErr w:type="gramStart"/>
      <w:r w:rsidR="0005022B">
        <w:t>3 week</w:t>
      </w:r>
      <w:proofErr w:type="gramEnd"/>
      <w:r w:rsidR="0005022B">
        <w:t xml:space="preserve"> ingestion period and again 3 weeks later. </w:t>
      </w:r>
      <w:r w:rsidR="00007E0A">
        <w:t>By 16</w:t>
      </w:r>
      <w:r w:rsidR="00986FE2">
        <w:t xml:space="preserve">S rRNA gene sequencing of faecal samples, the </w:t>
      </w:r>
      <w:r w:rsidR="00986FE2" w:rsidRPr="00F52B08">
        <w:rPr>
          <w:i/>
        </w:rPr>
        <w:t>Bacteroidetes</w:t>
      </w:r>
      <w:r w:rsidR="00986FE2">
        <w:t xml:space="preserve"> increased in proportion, driven by increases in the </w:t>
      </w:r>
      <w:r w:rsidR="00A44221" w:rsidRPr="00F52B08">
        <w:rPr>
          <w:i/>
        </w:rPr>
        <w:t xml:space="preserve">Bacteroidaceae </w:t>
      </w:r>
      <w:r w:rsidR="00A44221">
        <w:t>and</w:t>
      </w:r>
      <w:r w:rsidR="00986FE2">
        <w:t xml:space="preserve"> </w:t>
      </w:r>
      <w:r w:rsidR="00986FE2" w:rsidRPr="00F52B08">
        <w:rPr>
          <w:i/>
        </w:rPr>
        <w:t>Pervotellaceae</w:t>
      </w:r>
      <w:r w:rsidR="00986FE2">
        <w:t xml:space="preserve"> families. At lower phylogenetic levels, the majority of </w:t>
      </w:r>
      <w:r w:rsidR="00A44221">
        <w:t>the gut</w:t>
      </w:r>
      <w:r w:rsidR="00986FE2">
        <w:t xml:space="preserve"> microbiota were </w:t>
      </w:r>
      <w:r w:rsidR="00F046A8">
        <w:t>little changed</w:t>
      </w:r>
      <w:r w:rsidR="00986FE2">
        <w:t xml:space="preserve"> so that overall community stability was </w:t>
      </w:r>
      <w:r w:rsidR="00F046A8">
        <w:t>maintained.</w:t>
      </w:r>
    </w:p>
    <w:p w:rsidR="00F52B08" w:rsidRDefault="00F52B08" w:rsidP="00F40887">
      <w:pPr>
        <w:pStyle w:val="ListParagraph"/>
        <w:tabs>
          <w:tab w:val="left" w:pos="0"/>
        </w:tabs>
        <w:spacing w:before="240" w:line="240" w:lineRule="auto"/>
        <w:ind w:left="0"/>
      </w:pPr>
    </w:p>
    <w:p w:rsidR="00F52B08" w:rsidRDefault="00E841FB" w:rsidP="00F40887">
      <w:pPr>
        <w:pStyle w:val="ListParagraph"/>
        <w:numPr>
          <w:ilvl w:val="2"/>
          <w:numId w:val="1"/>
        </w:numPr>
        <w:tabs>
          <w:tab w:val="left" w:pos="0"/>
        </w:tabs>
        <w:spacing w:before="240" w:line="240" w:lineRule="auto"/>
        <w:ind w:left="0" w:firstLine="0"/>
      </w:pPr>
      <w:r w:rsidRPr="00F94FA9">
        <w:t>Theil</w:t>
      </w:r>
      <w:r w:rsidR="007B247F" w:rsidRPr="00F94FA9">
        <w:t xml:space="preserve">mann </w:t>
      </w:r>
      <w:r w:rsidR="007B247F" w:rsidRPr="00F52B08">
        <w:rPr>
          <w:i/>
        </w:rPr>
        <w:t>et al</w:t>
      </w:r>
      <w:r w:rsidR="007B247F" w:rsidRPr="00F94FA9">
        <w:t xml:space="preserve"> (2017) investigated the ability of a known human gut bacterium, </w:t>
      </w:r>
      <w:bookmarkStart w:id="3" w:name="_Hlk14702989"/>
      <w:r w:rsidR="007B247F" w:rsidRPr="00F52B08">
        <w:rPr>
          <w:i/>
        </w:rPr>
        <w:t>Lactobacillus acidophilus</w:t>
      </w:r>
      <w:r w:rsidR="0001721A" w:rsidRPr="00F94FA9">
        <w:t xml:space="preserve"> </w:t>
      </w:r>
      <w:bookmarkEnd w:id="3"/>
      <w:r w:rsidR="007B247F" w:rsidRPr="00F94FA9">
        <w:t xml:space="preserve">to metabolise dietary plant glucosides. </w:t>
      </w:r>
    </w:p>
    <w:p w:rsidR="00165412" w:rsidRDefault="007B247F" w:rsidP="00396130">
      <w:pPr>
        <w:pStyle w:val="ListParagraph"/>
        <w:tabs>
          <w:tab w:val="left" w:pos="0"/>
        </w:tabs>
        <w:spacing w:before="240" w:line="240" w:lineRule="auto"/>
        <w:ind w:left="0"/>
      </w:pPr>
      <w:r w:rsidRPr="00F94FA9">
        <w:t xml:space="preserve">Their premise </w:t>
      </w:r>
      <w:r w:rsidR="00CA3BCD" w:rsidRPr="00F94FA9">
        <w:t>was</w:t>
      </w:r>
      <w:r w:rsidRPr="00F94FA9">
        <w:t xml:space="preserve"> that the aglycone moiety of the glucosides would then be secreted by the bacteri</w:t>
      </w:r>
      <w:r w:rsidR="005A0E66">
        <w:t>a</w:t>
      </w:r>
      <w:r w:rsidRPr="00F94FA9">
        <w:t xml:space="preserve"> and serve as a substrate for further metabolism by other microbial species into bioactive products, which may be beneficial or toxic to the host depending upon the molecule.  </w:t>
      </w:r>
      <w:r w:rsidR="00E34645" w:rsidRPr="00F52B08">
        <w:rPr>
          <w:i/>
        </w:rPr>
        <w:t>L. acidophilus</w:t>
      </w:r>
      <w:r w:rsidR="00E34645" w:rsidRPr="00F94FA9">
        <w:t xml:space="preserve"> grew on amygdalin, salicin (from willow bark), vanillin 4-</w:t>
      </w:r>
      <w:r w:rsidR="0086158B" w:rsidRPr="00F94FA9">
        <w:t>O</w:t>
      </w:r>
      <w:r w:rsidR="00E34645" w:rsidRPr="00F94FA9">
        <w:t>-</w:t>
      </w:r>
      <w:r w:rsidR="00E34645" w:rsidRPr="00F52B08">
        <w:rPr>
          <w:rFonts w:ascii="Symbol" w:hAnsi="Symbol"/>
        </w:rPr>
        <w:t></w:t>
      </w:r>
      <w:r w:rsidR="00E34645" w:rsidRPr="00F94FA9">
        <w:t>-glucoside (from vanilla), polydatin (from grapes), esculin (from dandelion coffee) and frexin (from kiwi fruit)</w:t>
      </w:r>
      <w:r w:rsidR="0086158B" w:rsidRPr="00F94FA9">
        <w:t>.</w:t>
      </w:r>
      <w:r w:rsidR="00F434E7" w:rsidRPr="00F94FA9">
        <w:t xml:space="preserve"> </w:t>
      </w:r>
      <w:r w:rsidR="009A589A" w:rsidRPr="00F94FA9">
        <w:t>The metabolism of amygdalin, esculin and salicin were compared.</w:t>
      </w:r>
      <w:r w:rsidR="0086158B" w:rsidRPr="00F94FA9">
        <w:t xml:space="preserve"> Lactate increased as the glucosides were metabolised and aglycones were produced</w:t>
      </w:r>
      <w:r w:rsidR="00FA531E" w:rsidRPr="00F94FA9">
        <w:t xml:space="preserve"> in the external supernatant</w:t>
      </w:r>
      <w:r w:rsidR="009A589A" w:rsidRPr="00F94FA9">
        <w:t xml:space="preserve">, with </w:t>
      </w:r>
      <w:bookmarkStart w:id="4" w:name="_Hlk14704040"/>
      <w:r w:rsidR="009A589A" w:rsidRPr="00F94FA9">
        <w:t xml:space="preserve">esculin and salicin </w:t>
      </w:r>
      <w:bookmarkEnd w:id="4"/>
      <w:r w:rsidR="009A589A" w:rsidRPr="00F94FA9">
        <w:t>being preferred substrates.</w:t>
      </w:r>
    </w:p>
    <w:p w:rsidR="00F52B08" w:rsidRDefault="00F52B08" w:rsidP="00F40887">
      <w:pPr>
        <w:pStyle w:val="ListParagraph"/>
      </w:pPr>
    </w:p>
    <w:p w:rsidR="00AA2328" w:rsidRDefault="001121F0" w:rsidP="00F40887">
      <w:pPr>
        <w:pStyle w:val="ListParagraph"/>
        <w:numPr>
          <w:ilvl w:val="2"/>
          <w:numId w:val="1"/>
        </w:numPr>
        <w:tabs>
          <w:tab w:val="left" w:pos="0"/>
        </w:tabs>
        <w:spacing w:before="240" w:line="240" w:lineRule="auto"/>
        <w:ind w:left="0" w:firstLine="0"/>
      </w:pPr>
      <w:r w:rsidRPr="00F94FA9">
        <w:t xml:space="preserve">Wang </w:t>
      </w:r>
      <w:r w:rsidRPr="00F52B08">
        <w:rPr>
          <w:i/>
        </w:rPr>
        <w:t xml:space="preserve">et al </w:t>
      </w:r>
      <w:r w:rsidRPr="00F94FA9">
        <w:t xml:space="preserve">(2018) observed that the bacterial strain </w:t>
      </w:r>
      <w:r w:rsidRPr="00F52B08">
        <w:rPr>
          <w:i/>
        </w:rPr>
        <w:t>Bacillus cereus</w:t>
      </w:r>
      <w:r w:rsidRPr="00F94FA9">
        <w:t xml:space="preserve"> BC7 protected mice against liver damage caused by the mycotoxin zearalenone. The bacterium was isolated from mouldy animal feed and was found to be able to </w:t>
      </w:r>
      <w:r w:rsidR="000552D7" w:rsidRPr="00F94FA9">
        <w:t>utilise</w:t>
      </w:r>
      <w:r w:rsidRPr="00F94FA9">
        <w:t xml:space="preserve"> zearalenone as its sole carbon source</w:t>
      </w:r>
      <w:r w:rsidR="00CA3BCD" w:rsidRPr="00F94FA9">
        <w:t xml:space="preserve">, being able to </w:t>
      </w:r>
      <w:r w:rsidR="000552D7" w:rsidRPr="00F94FA9">
        <w:t>degrade 90.4% of 2 mg/l zearalenone in 48 hours at 37</w:t>
      </w:r>
      <w:r w:rsidR="000552D7" w:rsidRPr="00F52B08">
        <w:rPr>
          <w:vertAlign w:val="superscript"/>
        </w:rPr>
        <w:t>o</w:t>
      </w:r>
      <w:r w:rsidR="000552D7" w:rsidRPr="00F94FA9">
        <w:t>C. Degradation also took place in simulated gastric fluid. Female BALB/c mice were gavage dosed with saline, zearalenone (10 mg/kg bw), BC7 (</w:t>
      </w:r>
      <w:r w:rsidR="008D7335" w:rsidRPr="00F94FA9">
        <w:t>6.9 x 10</w:t>
      </w:r>
      <w:r w:rsidR="008D7335" w:rsidRPr="00F52B08">
        <w:rPr>
          <w:vertAlign w:val="superscript"/>
        </w:rPr>
        <w:t>7</w:t>
      </w:r>
      <w:r w:rsidR="008D7335" w:rsidRPr="00F94FA9">
        <w:t xml:space="preserve"> cfu) or zearalenone-plus-BC7 once daily for 2 weeks after which the animals were </w:t>
      </w:r>
      <w:r w:rsidR="009F625D" w:rsidRPr="00F94FA9">
        <w:t>euthanised</w:t>
      </w:r>
      <w:r w:rsidR="008D7335" w:rsidRPr="00F94FA9">
        <w:t xml:space="preserve"> and tissue, blood and faeces samples taken. Zearalenone markedly increased the titre of the </w:t>
      </w:r>
      <w:r w:rsidR="008D7335" w:rsidRPr="00F52B08">
        <w:rPr>
          <w:i/>
        </w:rPr>
        <w:t xml:space="preserve">Bacteroidetes </w:t>
      </w:r>
      <w:r w:rsidR="008D7335" w:rsidRPr="00F94FA9">
        <w:t xml:space="preserve">at the expense of the </w:t>
      </w:r>
      <w:r w:rsidR="008D7335" w:rsidRPr="00F52B08">
        <w:rPr>
          <w:i/>
        </w:rPr>
        <w:t>Firmicutes</w:t>
      </w:r>
      <w:r w:rsidR="00170A16" w:rsidRPr="00F94FA9">
        <w:t xml:space="preserve"> and the co</w:t>
      </w:r>
      <w:r w:rsidR="009F625D" w:rsidRPr="00F94FA9">
        <w:t>-</w:t>
      </w:r>
      <w:r w:rsidR="00170A16" w:rsidRPr="00F94FA9">
        <w:t>administration of BC7 returned the balance almost to control levels although at genus level all of the treatments were markedly different from the control. Concomitant to this, BC7 ameliorated the liver damage caused by zearalenone in terms of histological appearance of the tissue</w:t>
      </w:r>
      <w:r w:rsidR="00CA3BCD" w:rsidRPr="00F94FA9">
        <w:t xml:space="preserve">, </w:t>
      </w:r>
      <w:r w:rsidR="00170A16" w:rsidRPr="00F94FA9">
        <w:t>organ weight, and AST/ALT release</w:t>
      </w:r>
      <w:r w:rsidR="00CA3BCD" w:rsidRPr="00F94FA9">
        <w:t>.</w:t>
      </w:r>
      <w:r w:rsidR="00170A16" w:rsidRPr="00F94FA9">
        <w:t xml:space="preserve"> </w:t>
      </w:r>
      <w:r w:rsidR="00CA3BCD" w:rsidRPr="00F94FA9">
        <w:t>T</w:t>
      </w:r>
      <w:r w:rsidR="00170A16" w:rsidRPr="00F94FA9">
        <w:t>he authors suggested that BC7 could be used as a feed additive as a probiotic and a zearalenone removal agent.</w:t>
      </w:r>
    </w:p>
    <w:p w:rsidR="00F52B08" w:rsidRDefault="00F52B08" w:rsidP="00F40887">
      <w:pPr>
        <w:pStyle w:val="ListParagraph"/>
        <w:tabs>
          <w:tab w:val="left" w:pos="0"/>
        </w:tabs>
        <w:spacing w:before="240" w:line="240" w:lineRule="auto"/>
        <w:ind w:left="0"/>
      </w:pPr>
    </w:p>
    <w:p w:rsidR="00F52B08" w:rsidRDefault="00F52B08" w:rsidP="00F40887">
      <w:pPr>
        <w:pStyle w:val="ListParagraph"/>
        <w:tabs>
          <w:tab w:val="left" w:pos="0"/>
        </w:tabs>
        <w:spacing w:before="240" w:line="240" w:lineRule="auto"/>
        <w:ind w:left="0"/>
      </w:pPr>
    </w:p>
    <w:p w:rsidR="00B432E8" w:rsidRPr="00F52B08" w:rsidRDefault="00B432E8" w:rsidP="00F40887">
      <w:pPr>
        <w:pStyle w:val="ListParagraph"/>
        <w:tabs>
          <w:tab w:val="left" w:pos="0"/>
        </w:tabs>
        <w:spacing w:before="240" w:line="240" w:lineRule="auto"/>
        <w:ind w:left="0"/>
      </w:pPr>
      <w:r w:rsidRPr="00F52B08">
        <w:rPr>
          <w:b/>
        </w:rPr>
        <w:t>Risk assessment</w:t>
      </w:r>
      <w:r w:rsidR="002318E0" w:rsidRPr="00F52B08">
        <w:rPr>
          <w:b/>
        </w:rPr>
        <w:t xml:space="preserve"> and the microbiota</w:t>
      </w:r>
    </w:p>
    <w:p w:rsidR="00F52B08" w:rsidRPr="00F52B08" w:rsidRDefault="00F52B08" w:rsidP="00F40887">
      <w:pPr>
        <w:pStyle w:val="ListParagraph"/>
        <w:tabs>
          <w:tab w:val="left" w:pos="0"/>
        </w:tabs>
        <w:spacing w:before="240" w:line="240" w:lineRule="auto"/>
        <w:ind w:left="0"/>
      </w:pPr>
    </w:p>
    <w:p w:rsidR="00343340" w:rsidRDefault="00331D4D" w:rsidP="00F40887">
      <w:pPr>
        <w:pStyle w:val="ListParagraph"/>
        <w:numPr>
          <w:ilvl w:val="2"/>
          <w:numId w:val="1"/>
        </w:numPr>
        <w:tabs>
          <w:tab w:val="left" w:pos="0"/>
        </w:tabs>
        <w:spacing w:before="240" w:line="240" w:lineRule="auto"/>
        <w:ind w:left="0" w:firstLine="0"/>
      </w:pPr>
      <w:r w:rsidRPr="00F94FA9">
        <w:t xml:space="preserve">Considering the </w:t>
      </w:r>
      <w:r w:rsidR="002841BC" w:rsidRPr="00F94FA9">
        <w:t xml:space="preserve">multitude of interactions between the gut microbiota and chemicals of various classes ingested with food, Licht and Bahl (2018) </w:t>
      </w:r>
      <w:r w:rsidR="005A0E66">
        <w:t>discussed</w:t>
      </w:r>
      <w:r w:rsidR="005A0E66" w:rsidRPr="00F94FA9">
        <w:t xml:space="preserve"> </w:t>
      </w:r>
      <w:r w:rsidR="002841BC" w:rsidRPr="00F94FA9">
        <w:t xml:space="preserve">how this knowledge may affect the risk assessment processes commonly used in toxicology. In addition to the physiological differences between experimental animals and humans that lead to uncertainty in the extrapolation between species, the composition and metabolic capacity </w:t>
      </w:r>
      <w:r w:rsidR="00B3301E" w:rsidRPr="00F94FA9">
        <w:t xml:space="preserve">of the microbiota </w:t>
      </w:r>
      <w:r w:rsidR="002841BC" w:rsidRPr="00F94FA9">
        <w:t>differ and overlap in unknown ways. To mitigate this, the authors suggest</w:t>
      </w:r>
      <w:r w:rsidR="008678FF" w:rsidRPr="00F94FA9">
        <w:t>ed</w:t>
      </w:r>
      <w:r w:rsidR="002841BC" w:rsidRPr="00F94FA9">
        <w:t xml:space="preserve"> that animals </w:t>
      </w:r>
      <w:r w:rsidR="005554F3">
        <w:t xml:space="preserve">used </w:t>
      </w:r>
      <w:r w:rsidR="002841BC" w:rsidRPr="00F94FA9">
        <w:t>in toxicological studies</w:t>
      </w:r>
      <w:r w:rsidR="00343340" w:rsidRPr="00F94FA9">
        <w:t xml:space="preserve"> </w:t>
      </w:r>
      <w:r w:rsidR="008678FF" w:rsidRPr="00F94FA9">
        <w:t xml:space="preserve">could be </w:t>
      </w:r>
      <w:r w:rsidR="00343340" w:rsidRPr="00F94FA9">
        <w:t xml:space="preserve">modified by vendors in a number of ways:  </w:t>
      </w:r>
    </w:p>
    <w:p w:rsidR="007828C4" w:rsidRDefault="007828C4" w:rsidP="00F40887">
      <w:pPr>
        <w:pStyle w:val="ListParagraph"/>
        <w:tabs>
          <w:tab w:val="left" w:pos="0"/>
        </w:tabs>
        <w:spacing w:before="240" w:line="240" w:lineRule="auto"/>
        <w:ind w:left="0"/>
      </w:pPr>
    </w:p>
    <w:p w:rsidR="007828C4" w:rsidRDefault="007828C4" w:rsidP="00F40887">
      <w:pPr>
        <w:pStyle w:val="ListParagraph"/>
        <w:numPr>
          <w:ilvl w:val="0"/>
          <w:numId w:val="10"/>
        </w:numPr>
        <w:spacing w:before="240"/>
      </w:pPr>
      <w:r w:rsidRPr="00F94FA9">
        <w:t>to each have as wide a range of microbiota to cover the widest range of activities;</w:t>
      </w:r>
    </w:p>
    <w:p w:rsidR="007828C4" w:rsidRDefault="007828C4" w:rsidP="00F40887">
      <w:pPr>
        <w:pStyle w:val="ListParagraph"/>
        <w:numPr>
          <w:ilvl w:val="0"/>
          <w:numId w:val="10"/>
        </w:numPr>
        <w:spacing w:before="240"/>
      </w:pPr>
      <w:r w:rsidRPr="00F94FA9">
        <w:t>to have standardised microbiota or</w:t>
      </w:r>
      <w:r w:rsidR="00297A36">
        <w:t>,</w:t>
      </w:r>
    </w:p>
    <w:p w:rsidR="007828C4" w:rsidRDefault="007828C4" w:rsidP="00F40887">
      <w:pPr>
        <w:pStyle w:val="ListParagraph"/>
        <w:numPr>
          <w:ilvl w:val="0"/>
          <w:numId w:val="10"/>
        </w:numPr>
        <w:spacing w:before="240"/>
      </w:pPr>
      <w:r w:rsidRPr="00F94FA9">
        <w:t>each animal to have its microbiota analysed and correlation made between this and the findings of the experiment in that animal.</w:t>
      </w:r>
    </w:p>
    <w:p w:rsidR="007828C4" w:rsidRDefault="007828C4" w:rsidP="00F40887">
      <w:pPr>
        <w:pStyle w:val="ListParagraph"/>
        <w:numPr>
          <w:ilvl w:val="0"/>
          <w:numId w:val="10"/>
        </w:numPr>
        <w:spacing w:before="240"/>
      </w:pPr>
      <w:r w:rsidRPr="00F94FA9">
        <w:t>Careful consideration should also be given to co-caging, randomisation and the effects of coprophagy and environmental contact on individual animals.</w:t>
      </w:r>
    </w:p>
    <w:p w:rsidR="007828C4" w:rsidRDefault="007828C4" w:rsidP="00F40887">
      <w:pPr>
        <w:pStyle w:val="ListParagraph"/>
        <w:tabs>
          <w:tab w:val="left" w:pos="0"/>
        </w:tabs>
        <w:spacing w:before="240" w:line="240" w:lineRule="auto"/>
        <w:ind w:left="0"/>
      </w:pPr>
    </w:p>
    <w:p w:rsidR="00290EA6" w:rsidRDefault="00283819" w:rsidP="00F40887">
      <w:pPr>
        <w:pStyle w:val="ListParagraph"/>
        <w:numPr>
          <w:ilvl w:val="2"/>
          <w:numId w:val="1"/>
        </w:numPr>
        <w:tabs>
          <w:tab w:val="left" w:pos="0"/>
        </w:tabs>
        <w:spacing w:before="240" w:line="240" w:lineRule="auto"/>
        <w:ind w:left="0" w:firstLine="0"/>
      </w:pPr>
      <w:r w:rsidRPr="00F94FA9">
        <w:t xml:space="preserve">Velmurugan (2018) proposed a toxicological risk assessment protocol for the gut microbiota. The questions to be resolved were the effects of a chemical on the structure </w:t>
      </w:r>
      <w:r w:rsidR="00290EA6" w:rsidRPr="00F94FA9">
        <w:t xml:space="preserve">and function </w:t>
      </w:r>
      <w:r w:rsidRPr="00F94FA9">
        <w:t xml:space="preserve">of the </w:t>
      </w:r>
      <w:r w:rsidR="00AE7B1D" w:rsidRPr="00F94FA9">
        <w:t xml:space="preserve">microbial community, </w:t>
      </w:r>
      <w:r w:rsidR="00290EA6" w:rsidRPr="00F94FA9">
        <w:t xml:space="preserve">the former of </w:t>
      </w:r>
      <w:r w:rsidR="00AE7B1D" w:rsidRPr="00F94FA9">
        <w:t xml:space="preserve">which could be addressed by whole genomic DNA isolation and 16S rRNA gene sequencing to assess dysbiosis and the latter by mass spectrometry techniques. The author outlined a workflow diagram of the steps he proposed. The use of germ-free mice that could be inoculated with human-like bacterial populations and the </w:t>
      </w:r>
      <w:r w:rsidR="00AE7B1D" w:rsidRPr="007828C4">
        <w:rPr>
          <w:i/>
        </w:rPr>
        <w:t>in vitro</w:t>
      </w:r>
      <w:r w:rsidR="00AE7B1D" w:rsidRPr="00F94FA9">
        <w:t xml:space="preserve"> SHIME system were highlighted. </w:t>
      </w:r>
      <w:r w:rsidR="00B16D1E" w:rsidRPr="00F94FA9">
        <w:t xml:space="preserve">The substrate used in the SHIME system could then be transplanted into a suitable host animal to assess the effect of the changes observed </w:t>
      </w:r>
      <w:r w:rsidR="00B16D1E" w:rsidRPr="007828C4">
        <w:rPr>
          <w:i/>
        </w:rPr>
        <w:t xml:space="preserve">in </w:t>
      </w:r>
      <w:r w:rsidR="00B16D1E" w:rsidRPr="003738AC">
        <w:rPr>
          <w:i/>
          <w:iCs/>
        </w:rPr>
        <w:t>vitro</w:t>
      </w:r>
      <w:r w:rsidR="00B16D1E" w:rsidRPr="00F94FA9">
        <w:t xml:space="preserve"> in a</w:t>
      </w:r>
      <w:r w:rsidR="005A0E66">
        <w:t>n intact</w:t>
      </w:r>
      <w:r w:rsidR="00B16D1E" w:rsidRPr="00F94FA9">
        <w:t xml:space="preserve"> animal.</w:t>
      </w:r>
      <w:r w:rsidR="0045079A" w:rsidRPr="00F94FA9">
        <w:t xml:space="preserve"> </w:t>
      </w:r>
      <w:r w:rsidR="00AE7B1D" w:rsidRPr="00F94FA9">
        <w:t>Single bacteria or whole communities could also be assessed by “gut on a chip” microfluidic technology</w:t>
      </w:r>
      <w:r w:rsidR="00E8127E">
        <w:t xml:space="preserve">, as described by Kim </w:t>
      </w:r>
      <w:r w:rsidR="00E8127E">
        <w:rPr>
          <w:i/>
          <w:iCs/>
        </w:rPr>
        <w:t xml:space="preserve">et al </w:t>
      </w:r>
      <w:r w:rsidR="00E8127E">
        <w:t>(2016)</w:t>
      </w:r>
      <w:r w:rsidR="00AE7B1D" w:rsidRPr="00F94FA9">
        <w:t>.</w:t>
      </w:r>
    </w:p>
    <w:p w:rsidR="00023557" w:rsidRDefault="00023557" w:rsidP="00272F8A">
      <w:pPr>
        <w:pStyle w:val="ListParagraph"/>
        <w:tabs>
          <w:tab w:val="left" w:pos="0"/>
        </w:tabs>
        <w:spacing w:before="240" w:line="240" w:lineRule="auto"/>
        <w:ind w:left="0"/>
      </w:pPr>
    </w:p>
    <w:p w:rsidR="00023557" w:rsidRDefault="00E8127E" w:rsidP="00F40887">
      <w:pPr>
        <w:pStyle w:val="ListParagraph"/>
        <w:numPr>
          <w:ilvl w:val="2"/>
          <w:numId w:val="1"/>
        </w:numPr>
        <w:tabs>
          <w:tab w:val="left" w:pos="0"/>
        </w:tabs>
        <w:spacing w:before="240" w:line="240" w:lineRule="auto"/>
        <w:ind w:left="0" w:firstLine="0"/>
      </w:pPr>
      <w:r>
        <w:t xml:space="preserve">Kim </w:t>
      </w:r>
      <w:r>
        <w:rPr>
          <w:i/>
          <w:iCs/>
        </w:rPr>
        <w:t>et al</w:t>
      </w:r>
      <w:r>
        <w:t xml:space="preserve"> (2016) described a </w:t>
      </w:r>
      <w:r w:rsidR="00023557">
        <w:t>“</w:t>
      </w:r>
      <w:r>
        <w:t>g</w:t>
      </w:r>
      <w:r w:rsidR="00023557">
        <w:t xml:space="preserve">ut on a chip” </w:t>
      </w:r>
      <w:r w:rsidR="00943CF3">
        <w:t xml:space="preserve">system </w:t>
      </w:r>
      <w:r w:rsidR="00023557">
        <w:t xml:space="preserve">where cultured intestinal epithelial cells and microbiota </w:t>
      </w:r>
      <w:r w:rsidR="006E398B">
        <w:t>were</w:t>
      </w:r>
      <w:r w:rsidR="00023557">
        <w:t xml:space="preserve"> seeded on a support inside a flow-cell device. The walls of the flow cell </w:t>
      </w:r>
      <w:r w:rsidR="006E398B">
        <w:t>were</w:t>
      </w:r>
      <w:r w:rsidR="00023557">
        <w:t xml:space="preserve"> deformed by rhythmic alterations in external pressure to simulate peristalsis</w:t>
      </w:r>
      <w:r w:rsidR="005A0E66">
        <w:t>, so that the system more closely resembled the normal structure and function of the gut</w:t>
      </w:r>
      <w:r w:rsidR="000D3198">
        <w:t>. The</w:t>
      </w:r>
      <w:r w:rsidR="00023557">
        <w:t xml:space="preserve"> cells and bacteria inside </w:t>
      </w:r>
      <w:r w:rsidR="000D3198">
        <w:t xml:space="preserve">this system </w:t>
      </w:r>
      <w:r w:rsidR="00023557">
        <w:t>develop</w:t>
      </w:r>
      <w:r w:rsidR="006E398B">
        <w:t>ed</w:t>
      </w:r>
      <w:r w:rsidR="00023557">
        <w:t xml:space="preserve"> in a more naturalistic way than seen in a static system</w:t>
      </w:r>
      <w:r>
        <w:t xml:space="preserve">. </w:t>
      </w:r>
      <w:r w:rsidR="006E398B">
        <w:t>Chemical and biological stresses could then be applied and changes to the system could be assessed.</w:t>
      </w:r>
    </w:p>
    <w:p w:rsidR="007828C4" w:rsidRDefault="007828C4" w:rsidP="00F40887">
      <w:pPr>
        <w:pStyle w:val="ListParagraph"/>
        <w:tabs>
          <w:tab w:val="left" w:pos="0"/>
        </w:tabs>
        <w:spacing w:before="240" w:line="240" w:lineRule="auto"/>
        <w:ind w:left="0"/>
      </w:pPr>
    </w:p>
    <w:p w:rsidR="00732835" w:rsidRPr="007828C4" w:rsidRDefault="00732835" w:rsidP="00F40887">
      <w:pPr>
        <w:pStyle w:val="ListParagraph"/>
        <w:tabs>
          <w:tab w:val="left" w:pos="0"/>
        </w:tabs>
        <w:spacing w:before="240" w:line="240" w:lineRule="auto"/>
        <w:ind w:left="0"/>
      </w:pPr>
      <w:r w:rsidRPr="007828C4">
        <w:rPr>
          <w:szCs w:val="24"/>
          <w:u w:val="single"/>
        </w:rPr>
        <w:t>Derivation of microbiological health-based guidance</w:t>
      </w:r>
      <w:r w:rsidR="00666599" w:rsidRPr="007828C4">
        <w:rPr>
          <w:szCs w:val="24"/>
          <w:u w:val="single"/>
        </w:rPr>
        <w:t xml:space="preserve"> values</w:t>
      </w:r>
      <w:r w:rsidRPr="007828C4">
        <w:rPr>
          <w:szCs w:val="24"/>
          <w:u w:val="single"/>
        </w:rPr>
        <w:t xml:space="preserve"> </w:t>
      </w:r>
    </w:p>
    <w:p w:rsidR="007828C4" w:rsidRPr="007828C4" w:rsidRDefault="007828C4" w:rsidP="00F40887">
      <w:pPr>
        <w:pStyle w:val="ListParagraph"/>
        <w:tabs>
          <w:tab w:val="left" w:pos="0"/>
        </w:tabs>
        <w:spacing w:before="240" w:line="240" w:lineRule="auto"/>
        <w:ind w:left="0"/>
      </w:pPr>
    </w:p>
    <w:p w:rsidR="009A41FC" w:rsidRDefault="005A2F24" w:rsidP="00F40887">
      <w:pPr>
        <w:pStyle w:val="ListParagraph"/>
        <w:numPr>
          <w:ilvl w:val="2"/>
          <w:numId w:val="1"/>
        </w:numPr>
        <w:tabs>
          <w:tab w:val="left" w:pos="0"/>
        </w:tabs>
        <w:spacing w:before="240" w:line="240" w:lineRule="auto"/>
        <w:ind w:left="0" w:firstLine="0"/>
      </w:pPr>
      <w:bookmarkStart w:id="5" w:name="_Hlk20237223"/>
      <w:r w:rsidRPr="00F94FA9">
        <w:t>The International Cooperation on Harmonisation of Technical Requirements for Registration of Veterinary Medicinal Products</w:t>
      </w:r>
      <w:r w:rsidRPr="007828C4">
        <w:rPr>
          <w:szCs w:val="24"/>
        </w:rPr>
        <w:t xml:space="preserve"> (</w:t>
      </w:r>
      <w:r w:rsidR="0089410B" w:rsidRPr="00F94FA9">
        <w:t>VICH</w:t>
      </w:r>
      <w:r w:rsidRPr="00F94FA9">
        <w:t>) guidance document</w:t>
      </w:r>
      <w:r w:rsidR="0089410B" w:rsidRPr="00F94FA9">
        <w:t xml:space="preserve"> GL36(R</w:t>
      </w:r>
      <w:r w:rsidRPr="00F94FA9">
        <w:t>2</w:t>
      </w:r>
      <w:r w:rsidR="0089410B" w:rsidRPr="00F94FA9">
        <w:t>) (201</w:t>
      </w:r>
      <w:r w:rsidRPr="00F94FA9">
        <w:t>9</w:t>
      </w:r>
      <w:r w:rsidR="0089410B" w:rsidRPr="00F94FA9">
        <w:t xml:space="preserve">) </w:t>
      </w:r>
      <w:r w:rsidRPr="00F94FA9">
        <w:t xml:space="preserve">outlines recommendations for deriving a microbiological acceptable daily intake (ADI) for </w:t>
      </w:r>
      <w:r w:rsidR="00155203">
        <w:t xml:space="preserve">dietary residues of </w:t>
      </w:r>
      <w:r w:rsidRPr="00F94FA9">
        <w:t xml:space="preserve">a veterinary </w:t>
      </w:r>
      <w:r w:rsidR="00666599" w:rsidRPr="00F94FA9">
        <w:t>medicine</w:t>
      </w:r>
      <w:r w:rsidRPr="00F94FA9">
        <w:t xml:space="preserve"> with suspected antimicrobial propertie</w:t>
      </w:r>
      <w:r w:rsidR="00013D04" w:rsidRPr="00F94FA9">
        <w:t>s</w:t>
      </w:r>
      <w:r w:rsidR="002B282D" w:rsidRPr="00F94FA9">
        <w:t>. The procedures for deriving ADIs</w:t>
      </w:r>
      <w:r w:rsidR="008D293A" w:rsidRPr="00F94FA9">
        <w:t xml:space="preserve">, </w:t>
      </w:r>
      <w:r w:rsidR="002B282D" w:rsidRPr="00F94FA9">
        <w:t xml:space="preserve">based on either disruption of the intestinal colonisation barrier or on overgrowth of drug resistant species, using </w:t>
      </w:r>
      <w:r w:rsidR="002B282D" w:rsidRPr="007828C4">
        <w:rPr>
          <w:i/>
        </w:rPr>
        <w:t xml:space="preserve">in vivo </w:t>
      </w:r>
      <w:r w:rsidR="002B282D" w:rsidRPr="00F94FA9">
        <w:t>or</w:t>
      </w:r>
      <w:r w:rsidR="002B282D" w:rsidRPr="007828C4">
        <w:rPr>
          <w:i/>
        </w:rPr>
        <w:t xml:space="preserve"> in vitro </w:t>
      </w:r>
      <w:r w:rsidR="002B282D" w:rsidRPr="00F94FA9">
        <w:t>methods</w:t>
      </w:r>
      <w:r w:rsidR="008D293A" w:rsidRPr="00F94FA9">
        <w:t>,</w:t>
      </w:r>
      <w:r w:rsidR="002B282D" w:rsidRPr="00F94FA9">
        <w:t xml:space="preserve"> are outlined. This guidance updates guidance GL36</w:t>
      </w:r>
      <w:r w:rsidR="005236F3" w:rsidRPr="00F94FA9">
        <w:t>(R) (20</w:t>
      </w:r>
      <w:r w:rsidR="008E7147" w:rsidRPr="00F94FA9">
        <w:t>04, implemented 2013</w:t>
      </w:r>
      <w:r w:rsidR="005236F3" w:rsidRPr="00F94FA9">
        <w:t>)</w:t>
      </w:r>
      <w:r w:rsidR="009F625D" w:rsidRPr="00F94FA9">
        <w:t>.</w:t>
      </w:r>
    </w:p>
    <w:p w:rsidR="007828C4" w:rsidRDefault="007828C4" w:rsidP="00F40887">
      <w:pPr>
        <w:pStyle w:val="ListParagraph"/>
      </w:pPr>
    </w:p>
    <w:p w:rsidR="00A25BD3" w:rsidRPr="007828C4" w:rsidRDefault="00A25BD3" w:rsidP="00F40887">
      <w:pPr>
        <w:pStyle w:val="ListParagraph"/>
        <w:numPr>
          <w:ilvl w:val="2"/>
          <w:numId w:val="1"/>
        </w:numPr>
        <w:tabs>
          <w:tab w:val="left" w:pos="0"/>
        </w:tabs>
        <w:spacing w:before="240" w:line="240" w:lineRule="auto"/>
        <w:ind w:left="0" w:firstLine="0"/>
      </w:pPr>
      <w:r w:rsidRPr="007828C4">
        <w:rPr>
          <w:szCs w:val="24"/>
        </w:rPr>
        <w:t>In their 2018 report, the Joint Food and Agriculture Organization</w:t>
      </w:r>
      <w:r w:rsidR="00390AEE">
        <w:rPr>
          <w:szCs w:val="24"/>
        </w:rPr>
        <w:t xml:space="preserve"> / </w:t>
      </w:r>
      <w:r w:rsidRPr="007828C4">
        <w:rPr>
          <w:szCs w:val="24"/>
        </w:rPr>
        <w:t>World Health Organization Meeting on Pesticide Residues (JMPR) stated that  “The use of pesticides, particularly fungicides, in agriculture to control plant pathogens in crops could result in residues in food, which, on ingestion, may interact with the microbiome in the human gastrointestinal tract…</w:t>
      </w:r>
      <w:r w:rsidR="00EA49C8" w:rsidRPr="007828C4">
        <w:rPr>
          <w:szCs w:val="24"/>
        </w:rPr>
        <w:t>”</w:t>
      </w:r>
      <w:r w:rsidRPr="007828C4">
        <w:rPr>
          <w:szCs w:val="24"/>
        </w:rPr>
        <w:t xml:space="preserve"> JMPR recommended that studies of the effects of pesticides on the intestinal microbiota should be considered, </w:t>
      </w:r>
      <w:r w:rsidR="00E258F3">
        <w:rPr>
          <w:szCs w:val="24"/>
        </w:rPr>
        <w:t xml:space="preserve">and that this should </w:t>
      </w:r>
      <w:r w:rsidRPr="007828C4">
        <w:rPr>
          <w:szCs w:val="24"/>
        </w:rPr>
        <w:t xml:space="preserve">follow the </w:t>
      </w:r>
      <w:r w:rsidR="00E258F3">
        <w:rPr>
          <w:szCs w:val="24"/>
        </w:rPr>
        <w:t xml:space="preserve">same </w:t>
      </w:r>
      <w:r w:rsidRPr="007828C4">
        <w:rPr>
          <w:szCs w:val="24"/>
        </w:rPr>
        <w:t xml:space="preserve">step-wise decision-tree approach used by </w:t>
      </w:r>
      <w:r w:rsidR="00BE1CAD">
        <w:rPr>
          <w:szCs w:val="24"/>
        </w:rPr>
        <w:t xml:space="preserve">the </w:t>
      </w:r>
      <w:r w:rsidR="00BE1CAD" w:rsidRPr="007828C4">
        <w:rPr>
          <w:szCs w:val="24"/>
        </w:rPr>
        <w:t>Joint Food and Agriculture Organization</w:t>
      </w:r>
      <w:r w:rsidR="00390AEE">
        <w:rPr>
          <w:szCs w:val="24"/>
        </w:rPr>
        <w:t xml:space="preserve"> /</w:t>
      </w:r>
      <w:r w:rsidR="00BE1CAD" w:rsidRPr="007828C4">
        <w:rPr>
          <w:szCs w:val="24"/>
        </w:rPr>
        <w:t xml:space="preserve"> World Health Organization </w:t>
      </w:r>
      <w:r w:rsidR="00BE1CAD">
        <w:rPr>
          <w:szCs w:val="24"/>
        </w:rPr>
        <w:t>Expert Committee on Food Additives (</w:t>
      </w:r>
      <w:r w:rsidRPr="007828C4">
        <w:rPr>
          <w:szCs w:val="24"/>
        </w:rPr>
        <w:t>JECFA</w:t>
      </w:r>
      <w:r w:rsidR="00BE1CAD">
        <w:rPr>
          <w:szCs w:val="24"/>
        </w:rPr>
        <w:t xml:space="preserve">) </w:t>
      </w:r>
      <w:r w:rsidRPr="007828C4">
        <w:rPr>
          <w:szCs w:val="24"/>
        </w:rPr>
        <w:t>when establishing a microbiological ADI and ARfD for</w:t>
      </w:r>
      <w:r w:rsidR="00155203">
        <w:rPr>
          <w:szCs w:val="24"/>
        </w:rPr>
        <w:t xml:space="preserve"> residues of</w:t>
      </w:r>
      <w:r w:rsidRPr="007828C4">
        <w:rPr>
          <w:szCs w:val="24"/>
        </w:rPr>
        <w:t xml:space="preserve"> veterinary drugs.</w:t>
      </w:r>
    </w:p>
    <w:p w:rsidR="007828C4" w:rsidRDefault="007828C4" w:rsidP="00F40887">
      <w:pPr>
        <w:pStyle w:val="ListParagraph"/>
      </w:pPr>
    </w:p>
    <w:p w:rsidR="00B77D7E" w:rsidRDefault="00B77D7E" w:rsidP="00F40887">
      <w:pPr>
        <w:pStyle w:val="ListParagraph"/>
        <w:numPr>
          <w:ilvl w:val="2"/>
          <w:numId w:val="1"/>
        </w:numPr>
        <w:tabs>
          <w:tab w:val="left" w:pos="0"/>
        </w:tabs>
        <w:spacing w:before="240" w:line="240" w:lineRule="auto"/>
        <w:ind w:left="0" w:firstLine="0"/>
      </w:pPr>
      <w:r w:rsidRPr="00F94FA9">
        <w:t>The 85</w:t>
      </w:r>
      <w:r w:rsidRPr="007828C4">
        <w:rPr>
          <w:vertAlign w:val="superscript"/>
        </w:rPr>
        <w:t>th</w:t>
      </w:r>
      <w:r w:rsidRPr="00F94FA9">
        <w:t xml:space="preserve"> JECFA </w:t>
      </w:r>
      <w:r w:rsidR="00BE1CAD">
        <w:t xml:space="preserve">meeting report </w:t>
      </w:r>
      <w:r w:rsidRPr="00F94FA9">
        <w:t xml:space="preserve">recommended that “…studies be conducted according to internationally recognized standards using at least 10 strains of the relevant genera of intestinal bacteria sourced from faecal samples of healthy donors taking into consideration recent scientific knowledge from molecular and metagenomic studies on intestinal microbial community composition; and that </w:t>
      </w:r>
      <w:r w:rsidRPr="007828C4">
        <w:rPr>
          <w:i/>
        </w:rPr>
        <w:t>in vitro</w:t>
      </w:r>
      <w:r w:rsidRPr="00F94FA9">
        <w:t xml:space="preserve"> or </w:t>
      </w:r>
      <w:r w:rsidRPr="007828C4">
        <w:rPr>
          <w:i/>
        </w:rPr>
        <w:t>in vivo</w:t>
      </w:r>
      <w:r w:rsidRPr="00F94FA9">
        <w:t xml:space="preserve"> studies be conducted using a range of concentrations of the antimicrobial agent, from residue levels to therapeutic levels, and that these studies address the effects.” (JECFA 201</w:t>
      </w:r>
      <w:r w:rsidR="003F172C" w:rsidRPr="00F94FA9">
        <w:t>8</w:t>
      </w:r>
      <w:r w:rsidRPr="00F94FA9">
        <w:t>)</w:t>
      </w:r>
      <w:r w:rsidR="00CA5EC1" w:rsidRPr="00F94FA9">
        <w:t>.</w:t>
      </w:r>
    </w:p>
    <w:p w:rsidR="007828C4" w:rsidRDefault="007828C4" w:rsidP="00F40887">
      <w:pPr>
        <w:pStyle w:val="ListParagraph"/>
      </w:pPr>
    </w:p>
    <w:p w:rsidR="007828C4" w:rsidRDefault="00A66F5C" w:rsidP="00F40887">
      <w:pPr>
        <w:pStyle w:val="ListParagraph"/>
        <w:numPr>
          <w:ilvl w:val="2"/>
          <w:numId w:val="1"/>
        </w:numPr>
        <w:tabs>
          <w:tab w:val="left" w:pos="0"/>
        </w:tabs>
        <w:spacing w:before="240" w:line="240" w:lineRule="auto"/>
        <w:ind w:left="0" w:firstLine="0"/>
      </w:pPr>
      <w:r w:rsidRPr="00F94FA9">
        <w:t>Points to be considered before a microbiological HBGV for a particular xenobiotic (as applied by J</w:t>
      </w:r>
      <w:r w:rsidR="00066747" w:rsidRPr="00F94FA9">
        <w:t>E</w:t>
      </w:r>
      <w:r w:rsidRPr="00F94FA9">
        <w:t xml:space="preserve">CFA to </w:t>
      </w:r>
      <w:r w:rsidR="00155203">
        <w:t xml:space="preserve">residues of </w:t>
      </w:r>
      <w:r w:rsidRPr="00F94FA9">
        <w:t xml:space="preserve">veterinary drugs) </w:t>
      </w:r>
      <w:r w:rsidR="001F1C5D" w:rsidRPr="00F94FA9">
        <w:t>would be considered necessary are</w:t>
      </w:r>
      <w:r w:rsidRPr="00F94FA9">
        <w:t>:</w:t>
      </w:r>
    </w:p>
    <w:p w:rsidR="00F42E00" w:rsidRDefault="00F42E00" w:rsidP="00F40887">
      <w:pPr>
        <w:pStyle w:val="ListParagraph"/>
      </w:pPr>
    </w:p>
    <w:p w:rsidR="00F42E00" w:rsidRDefault="00F42E00" w:rsidP="00F40887">
      <w:pPr>
        <w:pStyle w:val="ListParagraph"/>
        <w:numPr>
          <w:ilvl w:val="0"/>
          <w:numId w:val="11"/>
        </w:numPr>
        <w:spacing w:before="240"/>
      </w:pPr>
      <w:r w:rsidRPr="00F94FA9">
        <w:t xml:space="preserve">Are residues of the drug and/or its metabolites microbiologically active against representatives of the human intestinal flora? </w:t>
      </w:r>
    </w:p>
    <w:p w:rsidR="00F42E00" w:rsidRDefault="00F42E00" w:rsidP="00F40887">
      <w:pPr>
        <w:pStyle w:val="ListParagraph"/>
        <w:numPr>
          <w:ilvl w:val="0"/>
          <w:numId w:val="11"/>
        </w:numPr>
        <w:spacing w:before="240"/>
      </w:pPr>
      <w:r w:rsidRPr="00F94FA9">
        <w:t xml:space="preserve">Do residues enter the human colon? </w:t>
      </w:r>
    </w:p>
    <w:p w:rsidR="00F42E00" w:rsidRPr="00F94FA9" w:rsidRDefault="00F42E00" w:rsidP="00F40887">
      <w:pPr>
        <w:pStyle w:val="ListParagraph"/>
        <w:numPr>
          <w:ilvl w:val="0"/>
          <w:numId w:val="11"/>
        </w:numPr>
        <w:spacing w:before="240"/>
      </w:pPr>
      <w:r w:rsidRPr="00F94FA9">
        <w:t xml:space="preserve">Do the residues entering the human colon remain microbiologically active?  </w:t>
      </w:r>
    </w:p>
    <w:p w:rsidR="00F42E00" w:rsidRDefault="00F42E00" w:rsidP="00F40887">
      <w:pPr>
        <w:pStyle w:val="ListParagraph"/>
      </w:pPr>
    </w:p>
    <w:p w:rsidR="005236F3" w:rsidRPr="00F42E00" w:rsidRDefault="005236F3" w:rsidP="00F40887">
      <w:pPr>
        <w:pStyle w:val="ListParagraph"/>
        <w:numPr>
          <w:ilvl w:val="2"/>
          <w:numId w:val="1"/>
        </w:numPr>
        <w:tabs>
          <w:tab w:val="left" w:pos="0"/>
        </w:tabs>
        <w:spacing w:before="240" w:line="240" w:lineRule="auto"/>
        <w:ind w:left="0" w:firstLine="0"/>
      </w:pPr>
      <w:r w:rsidRPr="00F42E00">
        <w:rPr>
          <w:szCs w:val="24"/>
        </w:rPr>
        <w:t>JECFA produced a guidance document on the derivation of a microbiological acute reference dose (ARfD)</w:t>
      </w:r>
      <w:r w:rsidR="00D84ED1" w:rsidRPr="00F42E00">
        <w:rPr>
          <w:szCs w:val="24"/>
        </w:rPr>
        <w:t xml:space="preserve"> (</w:t>
      </w:r>
      <w:r w:rsidR="00F05865" w:rsidRPr="00F42E00">
        <w:rPr>
          <w:szCs w:val="24"/>
        </w:rPr>
        <w:t>JECFA, 2016</w:t>
      </w:r>
      <w:r w:rsidR="00155203">
        <w:rPr>
          <w:szCs w:val="24"/>
        </w:rPr>
        <w:t>)</w:t>
      </w:r>
      <w:r w:rsidR="00666599" w:rsidRPr="00F42E00">
        <w:rPr>
          <w:szCs w:val="24"/>
        </w:rPr>
        <w:t xml:space="preserve">. Disruption of the colonisation barrier is </w:t>
      </w:r>
      <w:r w:rsidR="00155203">
        <w:rPr>
          <w:szCs w:val="24"/>
        </w:rPr>
        <w:t xml:space="preserve">the endpoint </w:t>
      </w:r>
      <w:r w:rsidR="00666599" w:rsidRPr="00F42E00">
        <w:rPr>
          <w:szCs w:val="24"/>
        </w:rPr>
        <w:t xml:space="preserve">relevant to acute exposure and therefore would </w:t>
      </w:r>
      <w:r w:rsidR="00155203">
        <w:rPr>
          <w:szCs w:val="24"/>
        </w:rPr>
        <w:t xml:space="preserve">normally </w:t>
      </w:r>
      <w:r w:rsidR="00666599" w:rsidRPr="00F42E00">
        <w:rPr>
          <w:szCs w:val="24"/>
        </w:rPr>
        <w:t>be the basis of a microbiological ARfD.</w:t>
      </w:r>
    </w:p>
    <w:p w:rsidR="00F42E00" w:rsidRPr="00F42E00" w:rsidRDefault="00F42E00" w:rsidP="00F40887">
      <w:pPr>
        <w:pStyle w:val="ListParagraph"/>
        <w:tabs>
          <w:tab w:val="left" w:pos="0"/>
        </w:tabs>
        <w:spacing w:before="240" w:line="240" w:lineRule="auto"/>
        <w:ind w:left="0"/>
      </w:pPr>
    </w:p>
    <w:p w:rsidR="008D293A" w:rsidRPr="00F42E00" w:rsidRDefault="008D293A" w:rsidP="00F40887">
      <w:pPr>
        <w:pStyle w:val="ListParagraph"/>
        <w:numPr>
          <w:ilvl w:val="2"/>
          <w:numId w:val="1"/>
        </w:numPr>
        <w:tabs>
          <w:tab w:val="left" w:pos="0"/>
        </w:tabs>
        <w:spacing w:before="240" w:line="240" w:lineRule="auto"/>
        <w:ind w:left="0" w:firstLine="0"/>
      </w:pPr>
      <w:r w:rsidRPr="00F42E00">
        <w:rPr>
          <w:szCs w:val="24"/>
        </w:rPr>
        <w:t xml:space="preserve">The calculations for </w:t>
      </w:r>
      <w:r w:rsidR="00666599" w:rsidRPr="00F42E00">
        <w:rPr>
          <w:szCs w:val="24"/>
        </w:rPr>
        <w:t xml:space="preserve">microbiological </w:t>
      </w:r>
      <w:r w:rsidRPr="00F42E00">
        <w:rPr>
          <w:szCs w:val="24"/>
        </w:rPr>
        <w:t>ADIs and ARfD</w:t>
      </w:r>
      <w:r w:rsidR="00155203">
        <w:rPr>
          <w:szCs w:val="24"/>
        </w:rPr>
        <w:t>s</w:t>
      </w:r>
      <w:r w:rsidRPr="00F42E00">
        <w:rPr>
          <w:szCs w:val="24"/>
        </w:rPr>
        <w:t xml:space="preserve"> are similar to one another in format</w:t>
      </w:r>
      <w:r w:rsidR="003E7444" w:rsidRPr="00F42E00">
        <w:rPr>
          <w:szCs w:val="24"/>
        </w:rPr>
        <w:t xml:space="preserve">. For the derivation relating to the use of </w:t>
      </w:r>
      <w:r w:rsidR="003E7444" w:rsidRPr="00F42E00">
        <w:rPr>
          <w:i/>
          <w:szCs w:val="24"/>
        </w:rPr>
        <w:t xml:space="preserve">in vitro </w:t>
      </w:r>
      <w:r w:rsidR="003E7444" w:rsidRPr="00F42E00">
        <w:rPr>
          <w:szCs w:val="24"/>
        </w:rPr>
        <w:t xml:space="preserve">models using defined bacterial strains of </w:t>
      </w:r>
      <w:r w:rsidR="005F2B92" w:rsidRPr="00F42E00">
        <w:rPr>
          <w:szCs w:val="24"/>
        </w:rPr>
        <w:t>bacteria, the formula derived by JECFA is as follows</w:t>
      </w:r>
      <w:r w:rsidR="008E7147" w:rsidRPr="00F42E00">
        <w:rPr>
          <w:szCs w:val="24"/>
        </w:rPr>
        <w:t>:</w:t>
      </w:r>
    </w:p>
    <w:p w:rsidR="00F42E00" w:rsidRDefault="00F42E00" w:rsidP="00F40887">
      <w:pPr>
        <w:pStyle w:val="ListParagraph"/>
      </w:pPr>
    </w:p>
    <w:p w:rsidR="00F42E00" w:rsidRPr="00F94FA9" w:rsidRDefault="00F42E00" w:rsidP="00F40887">
      <w:pPr>
        <w:pStyle w:val="ListParagraph"/>
        <w:spacing w:before="240"/>
        <w:ind w:left="801"/>
        <w:rPr>
          <w:szCs w:val="24"/>
        </w:rPr>
      </w:pPr>
      <w:r w:rsidRPr="00F94FA9">
        <w:rPr>
          <w:szCs w:val="24"/>
        </w:rPr>
        <w:t xml:space="preserve">HBGV = </w:t>
      </w:r>
      <w:r w:rsidRPr="00F94FA9">
        <w:rPr>
          <w:szCs w:val="24"/>
          <w:u w:val="single"/>
        </w:rPr>
        <w:t>POD (MIC</w:t>
      </w:r>
      <w:r w:rsidRPr="00F94FA9">
        <w:rPr>
          <w:szCs w:val="24"/>
          <w:u w:val="single"/>
          <w:vertAlign w:val="subscript"/>
        </w:rPr>
        <w:t>calc</w:t>
      </w:r>
      <w:r w:rsidRPr="00F94FA9">
        <w:rPr>
          <w:szCs w:val="24"/>
          <w:u w:val="single"/>
        </w:rPr>
        <w:t xml:space="preserve"> or NOAEC) x correction factors x colon volume</w:t>
      </w:r>
    </w:p>
    <w:p w:rsidR="00F42E00" w:rsidRPr="00F94FA9" w:rsidRDefault="00F42E00" w:rsidP="00F40887">
      <w:pPr>
        <w:pStyle w:val="ListParagraph"/>
        <w:spacing w:before="240"/>
        <w:ind w:left="2061"/>
        <w:rPr>
          <w:szCs w:val="24"/>
        </w:rPr>
      </w:pPr>
      <w:r w:rsidRPr="00F94FA9">
        <w:rPr>
          <w:szCs w:val="24"/>
        </w:rPr>
        <w:t>Fraction of oral dose available to microbiota x body weight</w:t>
      </w:r>
    </w:p>
    <w:p w:rsidR="00F42E00" w:rsidRPr="00F94FA9" w:rsidRDefault="00F42E00" w:rsidP="00F40887">
      <w:pPr>
        <w:pStyle w:val="ListParagraph"/>
        <w:spacing w:before="240"/>
        <w:ind w:left="0"/>
        <w:rPr>
          <w:szCs w:val="24"/>
        </w:rPr>
      </w:pPr>
    </w:p>
    <w:p w:rsidR="00F42E00" w:rsidRPr="00F94FA9" w:rsidRDefault="00F42E00" w:rsidP="00F40887">
      <w:pPr>
        <w:pStyle w:val="ListParagraph"/>
        <w:spacing w:before="240"/>
        <w:ind w:left="801"/>
        <w:rPr>
          <w:szCs w:val="24"/>
        </w:rPr>
      </w:pPr>
      <w:r w:rsidRPr="00F94FA9">
        <w:rPr>
          <w:szCs w:val="24"/>
        </w:rPr>
        <w:t>Where</w:t>
      </w:r>
      <w:r>
        <w:rPr>
          <w:szCs w:val="24"/>
        </w:rPr>
        <w:t>:</w:t>
      </w:r>
    </w:p>
    <w:p w:rsidR="00F42E00" w:rsidRPr="00F94FA9" w:rsidRDefault="00F42E00" w:rsidP="00F40887">
      <w:pPr>
        <w:pStyle w:val="ListParagraph"/>
        <w:spacing w:before="240"/>
        <w:ind w:left="801"/>
        <w:rPr>
          <w:szCs w:val="24"/>
        </w:rPr>
      </w:pPr>
      <w:r w:rsidRPr="00F94FA9">
        <w:rPr>
          <w:szCs w:val="24"/>
        </w:rPr>
        <w:t>HBCV = health-based guidance value (ADI or ARfD)</w:t>
      </w:r>
    </w:p>
    <w:p w:rsidR="00F42E00" w:rsidRPr="00F94FA9" w:rsidRDefault="00F42E00" w:rsidP="00F40887">
      <w:pPr>
        <w:pStyle w:val="ListParagraph"/>
        <w:spacing w:before="240"/>
        <w:ind w:left="0"/>
        <w:rPr>
          <w:szCs w:val="24"/>
          <w:vertAlign w:val="subscript"/>
        </w:rPr>
      </w:pPr>
    </w:p>
    <w:p w:rsidR="00F42E00" w:rsidRPr="00F94FA9" w:rsidRDefault="00F42E00" w:rsidP="00F40887">
      <w:pPr>
        <w:pStyle w:val="ListParagraph"/>
        <w:spacing w:before="240"/>
        <w:ind w:left="801"/>
        <w:rPr>
          <w:szCs w:val="24"/>
        </w:rPr>
      </w:pPr>
      <w:r w:rsidRPr="00F94FA9">
        <w:rPr>
          <w:szCs w:val="24"/>
        </w:rPr>
        <w:t>POD = Point of Departure = Minimum Inhibitory Concentration or No-Observed-Adverse-Effect-Concentration.</w:t>
      </w:r>
    </w:p>
    <w:p w:rsidR="00F42E00" w:rsidRPr="00F94FA9" w:rsidRDefault="00F42E00" w:rsidP="00F40887">
      <w:pPr>
        <w:pStyle w:val="ListParagraph"/>
        <w:spacing w:before="240"/>
        <w:ind w:left="0"/>
        <w:rPr>
          <w:szCs w:val="24"/>
        </w:rPr>
      </w:pPr>
    </w:p>
    <w:p w:rsidR="00F42E00" w:rsidRPr="00F94FA9" w:rsidRDefault="00F42E00" w:rsidP="00F40887">
      <w:pPr>
        <w:pStyle w:val="ListParagraph"/>
        <w:spacing w:before="240"/>
        <w:ind w:left="801"/>
        <w:rPr>
          <w:szCs w:val="24"/>
        </w:rPr>
      </w:pPr>
      <w:r w:rsidRPr="00F94FA9">
        <w:rPr>
          <w:szCs w:val="24"/>
        </w:rPr>
        <w:t>MIC</w:t>
      </w:r>
      <w:r w:rsidRPr="00F94FA9">
        <w:rPr>
          <w:szCs w:val="24"/>
          <w:vertAlign w:val="subscript"/>
        </w:rPr>
        <w:t xml:space="preserve">calc </w:t>
      </w:r>
      <w:r w:rsidRPr="00F94FA9">
        <w:rPr>
          <w:szCs w:val="24"/>
        </w:rPr>
        <w:t>= calculated minimum inhibitory concentration. MIC</w:t>
      </w:r>
      <w:r w:rsidRPr="00F94FA9">
        <w:rPr>
          <w:szCs w:val="24"/>
          <w:vertAlign w:val="subscript"/>
        </w:rPr>
        <w:t>calc</w:t>
      </w:r>
      <w:r w:rsidRPr="00F94FA9">
        <w:rPr>
          <w:szCs w:val="24"/>
        </w:rPr>
        <w:t xml:space="preserve"> </w:t>
      </w:r>
      <w:r w:rsidRPr="00F94FA9">
        <w:t>represents the lower 90% confidence limit for the mean MIC</w:t>
      </w:r>
      <w:r w:rsidRPr="00F94FA9">
        <w:rPr>
          <w:vertAlign w:val="subscript"/>
        </w:rPr>
        <w:t>50</w:t>
      </w:r>
      <w:r w:rsidRPr="00F94FA9">
        <w:t xml:space="preserve"> (the minimum inhibitory concentration for 50% of strains) for the 10 most relevant and sensitive human colonic bacterial genera. An intrinsically resistant bacterial genus should not be included.</w:t>
      </w:r>
    </w:p>
    <w:p w:rsidR="00F42E00" w:rsidRPr="00F94FA9" w:rsidRDefault="00F42E00" w:rsidP="00F40887">
      <w:pPr>
        <w:pStyle w:val="ListParagraph"/>
        <w:spacing w:before="240"/>
        <w:ind w:left="0"/>
        <w:rPr>
          <w:szCs w:val="24"/>
        </w:rPr>
      </w:pPr>
    </w:p>
    <w:p w:rsidR="00F42E00" w:rsidRPr="00F94FA9" w:rsidRDefault="00F42E00" w:rsidP="00F40887">
      <w:pPr>
        <w:pStyle w:val="ListParagraph"/>
        <w:spacing w:before="240"/>
        <w:ind w:left="801"/>
      </w:pPr>
      <w:r w:rsidRPr="00F94FA9">
        <w:rPr>
          <w:szCs w:val="24"/>
        </w:rPr>
        <w:t>Correction values (</w:t>
      </w:r>
      <w:r w:rsidRPr="00F94FA9">
        <w:t xml:space="preserve">where appropriate) take into account considerations not used for the microbiological ADI that may be appropriate to the microbiological ARfD. For example, a factor of 3 to allow for temporal dilution during gastrointestinal transit and for dilution by consumption of additional meals. Others may take into account the inoculum effect on MIC determinations, pH effects on the MIC, and possibly other physico-chemical-specific factors of the growth conditions used in testing. </w:t>
      </w:r>
    </w:p>
    <w:p w:rsidR="00F42E00" w:rsidRPr="00F94FA9" w:rsidRDefault="00F42E00" w:rsidP="00F40887">
      <w:pPr>
        <w:pStyle w:val="Default"/>
        <w:ind w:left="801"/>
        <w:rPr>
          <w:color w:val="auto"/>
        </w:rPr>
      </w:pPr>
      <w:r w:rsidRPr="00F94FA9">
        <w:rPr>
          <w:color w:val="auto"/>
        </w:rPr>
        <w:t xml:space="preserve">The fraction of an oral dose available for colonic microorganisms should be based on </w:t>
      </w:r>
      <w:r w:rsidRPr="00F94FA9">
        <w:rPr>
          <w:i/>
          <w:iCs/>
          <w:color w:val="auto"/>
        </w:rPr>
        <w:t xml:space="preserve">in vivo </w:t>
      </w:r>
      <w:r w:rsidRPr="00F94FA9">
        <w:rPr>
          <w:color w:val="auto"/>
        </w:rPr>
        <w:t>measurements for the drug administered orally. Alternatively, if sufficient data are available, the fraction of the dose available for colonic microorganisms can be calculated as 1 minus the fraction (of an oral dose) excreted in urine.</w:t>
      </w:r>
    </w:p>
    <w:p w:rsidR="00F42E00" w:rsidRPr="00F94FA9" w:rsidRDefault="00F42E00" w:rsidP="00F40887">
      <w:pPr>
        <w:pStyle w:val="Default"/>
        <w:rPr>
          <w:color w:val="auto"/>
        </w:rPr>
      </w:pPr>
    </w:p>
    <w:p w:rsidR="00F42E00" w:rsidRPr="00F94FA9" w:rsidRDefault="00F42E00" w:rsidP="00F40887">
      <w:pPr>
        <w:pStyle w:val="Default"/>
        <w:ind w:left="801"/>
        <w:rPr>
          <w:color w:val="auto"/>
        </w:rPr>
      </w:pPr>
      <w:r w:rsidRPr="00F94FA9">
        <w:rPr>
          <w:color w:val="auto"/>
        </w:rPr>
        <w:t>The value assumed for the volume of the colon has recently been increased from 220 ml to 500 ml</w:t>
      </w:r>
      <w:r w:rsidR="00155203">
        <w:rPr>
          <w:color w:val="auto"/>
        </w:rPr>
        <w:t>, based on a review of the scientific literature</w:t>
      </w:r>
      <w:r w:rsidRPr="00F94FA9">
        <w:rPr>
          <w:color w:val="auto"/>
        </w:rPr>
        <w:t>.</w:t>
      </w:r>
    </w:p>
    <w:p w:rsidR="00F42E00" w:rsidRPr="00F94FA9" w:rsidRDefault="00F42E00" w:rsidP="00F40887">
      <w:pPr>
        <w:pStyle w:val="ListParagraph"/>
        <w:spacing w:before="240"/>
        <w:ind w:left="801"/>
        <w:rPr>
          <w:szCs w:val="24"/>
        </w:rPr>
      </w:pPr>
      <w:r w:rsidRPr="00F94FA9">
        <w:rPr>
          <w:szCs w:val="24"/>
        </w:rPr>
        <w:t>Body weight = 60 kg.</w:t>
      </w:r>
    </w:p>
    <w:p w:rsidR="00F42E00" w:rsidRDefault="00F42E00" w:rsidP="00F40887">
      <w:pPr>
        <w:pStyle w:val="ListParagraph"/>
      </w:pPr>
    </w:p>
    <w:p w:rsidR="00F42E00" w:rsidRDefault="00F42E00" w:rsidP="00F40887">
      <w:pPr>
        <w:pStyle w:val="ListParagraph"/>
      </w:pPr>
    </w:p>
    <w:p w:rsidR="00CA5EC1" w:rsidRDefault="003F172C" w:rsidP="00F40887">
      <w:pPr>
        <w:pStyle w:val="ListParagraph"/>
        <w:numPr>
          <w:ilvl w:val="2"/>
          <w:numId w:val="1"/>
        </w:numPr>
        <w:tabs>
          <w:tab w:val="left" w:pos="0"/>
        </w:tabs>
        <w:spacing w:before="240" w:line="240" w:lineRule="auto"/>
        <w:ind w:left="0" w:firstLine="0"/>
      </w:pPr>
      <w:r w:rsidRPr="00F94FA9">
        <w:t>JECFA (2018) state</w:t>
      </w:r>
      <w:r w:rsidR="00390AEE">
        <w:t>d</w:t>
      </w:r>
      <w:r w:rsidRPr="00F94FA9">
        <w:t xml:space="preserve"> that “… data from </w:t>
      </w:r>
      <w:r w:rsidRPr="00F42E00">
        <w:rPr>
          <w:i/>
        </w:rPr>
        <w:t>in vitro</w:t>
      </w:r>
      <w:r w:rsidRPr="00F94FA9">
        <w:t xml:space="preserve"> studies (continuous culture flow chemostats) and </w:t>
      </w:r>
      <w:r w:rsidRPr="003738AC">
        <w:rPr>
          <w:i/>
          <w:iCs/>
        </w:rPr>
        <w:t>in vivo</w:t>
      </w:r>
      <w:r w:rsidRPr="00F94FA9">
        <w:t xml:space="preserve"> models (human volunteers, animal models and human microbiota</w:t>
      </w:r>
      <w:r w:rsidR="000D056D">
        <w:t>-</w:t>
      </w:r>
      <w:r w:rsidRPr="00F94FA9">
        <w:t xml:space="preserve">associated animals) are evaluated by the Committee for both microbiological end-points. However, data from these studies can be problematic in determining a microbiological ADI and/or ARfD. This is due to the small sample size in the animal studies; insufficient data and low power of studies in human volunteers (because of small numbers of subjects); concentrations of antimicrobial agent generally not being adequate to determine a chronic or acute dose with no effect; and the lack of validation of the </w:t>
      </w:r>
      <w:r w:rsidRPr="003738AC">
        <w:rPr>
          <w:i/>
          <w:iCs/>
        </w:rPr>
        <w:t>in vitro</w:t>
      </w:r>
      <w:r w:rsidRPr="00F94FA9">
        <w:t xml:space="preserve"> and </w:t>
      </w:r>
      <w:r w:rsidRPr="003738AC">
        <w:rPr>
          <w:i/>
          <w:iCs/>
        </w:rPr>
        <w:t>in vivo</w:t>
      </w:r>
      <w:r w:rsidRPr="00F94FA9">
        <w:t xml:space="preserve"> test models</w:t>
      </w:r>
      <w:r w:rsidR="00D0088F" w:rsidRPr="00F94FA9">
        <w:t xml:space="preserve">….and…Therefore, the Committee recommends that </w:t>
      </w:r>
      <w:r w:rsidR="00D0088F" w:rsidRPr="003738AC">
        <w:rPr>
          <w:i/>
          <w:iCs/>
        </w:rPr>
        <w:t>in vitro</w:t>
      </w:r>
      <w:r w:rsidR="00D0088F" w:rsidRPr="00F94FA9">
        <w:t xml:space="preserve"> or </w:t>
      </w:r>
      <w:r w:rsidR="00D0088F" w:rsidRPr="003738AC">
        <w:rPr>
          <w:i/>
          <w:iCs/>
        </w:rPr>
        <w:t>in vivo</w:t>
      </w:r>
      <w:r w:rsidR="00D0088F" w:rsidRPr="00F94FA9">
        <w:t xml:space="preserve"> studies be conducted using a range of concentrations of the antimicrobial agent, from residue levels to therapeutic levels. Such studies should address the predominant bacterial strains that inhabit the gastrointestinal tract when determining if levels of antimicrobial residues in animal-derived food after consumer ingestion can increase the population of antimicrobial-resistant intestinal bacteria in the gastrointestinal tract.</w:t>
      </w:r>
      <w:r w:rsidRPr="00F94FA9">
        <w:t>”</w:t>
      </w:r>
    </w:p>
    <w:p w:rsidR="00F42E00" w:rsidRDefault="00F42E00" w:rsidP="00F40887">
      <w:pPr>
        <w:pStyle w:val="ListParagraph"/>
        <w:tabs>
          <w:tab w:val="left" w:pos="0"/>
        </w:tabs>
        <w:spacing w:before="240" w:line="240" w:lineRule="auto"/>
        <w:ind w:left="0"/>
      </w:pPr>
    </w:p>
    <w:p w:rsidR="00336436" w:rsidRDefault="00336436" w:rsidP="00F40887">
      <w:pPr>
        <w:pStyle w:val="ListParagraph"/>
        <w:tabs>
          <w:tab w:val="left" w:pos="0"/>
        </w:tabs>
        <w:spacing w:before="240" w:line="240" w:lineRule="auto"/>
        <w:ind w:left="0"/>
      </w:pPr>
    </w:p>
    <w:bookmarkEnd w:id="5"/>
    <w:p w:rsidR="00290EA6" w:rsidRPr="00F42E00" w:rsidRDefault="00EB4098" w:rsidP="00336436">
      <w:pPr>
        <w:pStyle w:val="ListParagraph"/>
        <w:tabs>
          <w:tab w:val="left" w:pos="0"/>
        </w:tabs>
        <w:spacing w:before="240" w:line="240" w:lineRule="auto"/>
        <w:ind w:left="0"/>
      </w:pPr>
      <w:r>
        <w:rPr>
          <w:b/>
          <w:szCs w:val="24"/>
        </w:rPr>
        <w:t>Summary and c</w:t>
      </w:r>
      <w:r w:rsidR="00290EA6" w:rsidRPr="00F42E00">
        <w:rPr>
          <w:b/>
          <w:szCs w:val="24"/>
        </w:rPr>
        <w:t>onclusions</w:t>
      </w:r>
    </w:p>
    <w:p w:rsidR="00F42E00" w:rsidRDefault="00F42E00" w:rsidP="00F40887">
      <w:pPr>
        <w:pStyle w:val="ListParagraph"/>
      </w:pPr>
    </w:p>
    <w:p w:rsidR="00D77135" w:rsidRPr="00F42E00" w:rsidRDefault="00D301D7" w:rsidP="00F40887">
      <w:pPr>
        <w:pStyle w:val="ListParagraph"/>
        <w:numPr>
          <w:ilvl w:val="2"/>
          <w:numId w:val="1"/>
        </w:numPr>
        <w:tabs>
          <w:tab w:val="left" w:pos="0"/>
        </w:tabs>
        <w:spacing w:before="240" w:line="240" w:lineRule="auto"/>
        <w:ind w:left="0" w:firstLine="0"/>
      </w:pPr>
      <w:r w:rsidRPr="00F42E00">
        <w:rPr>
          <w:szCs w:val="24"/>
        </w:rPr>
        <w:t xml:space="preserve">The composition of the microbial community of the gastrointestinal tract is complex, consisting of a relatively small number of major phyla, within which the taxonomic groups account for an enormous range of species. </w:t>
      </w:r>
      <w:r w:rsidR="00812C0A" w:rsidRPr="00F42E00">
        <w:rPr>
          <w:szCs w:val="24"/>
        </w:rPr>
        <w:t>The number and range of species present depends upon the local conditions and thus position in the gut, the major repository being the large intestine, particularly the caecum</w:t>
      </w:r>
      <w:r w:rsidR="00865700" w:rsidRPr="00F42E00">
        <w:rPr>
          <w:szCs w:val="24"/>
        </w:rPr>
        <w:t xml:space="preserve">. </w:t>
      </w:r>
    </w:p>
    <w:p w:rsidR="00F42E00" w:rsidRDefault="00F42E00" w:rsidP="00F40887">
      <w:pPr>
        <w:pStyle w:val="ListParagraph"/>
      </w:pPr>
    </w:p>
    <w:p w:rsidR="00865700" w:rsidRPr="00F42E00" w:rsidRDefault="000D056D" w:rsidP="00F40887">
      <w:pPr>
        <w:pStyle w:val="ListParagraph"/>
        <w:numPr>
          <w:ilvl w:val="2"/>
          <w:numId w:val="1"/>
        </w:numPr>
        <w:tabs>
          <w:tab w:val="left" w:pos="0"/>
        </w:tabs>
        <w:spacing w:before="240" w:line="240" w:lineRule="auto"/>
        <w:ind w:left="0" w:firstLine="0"/>
      </w:pPr>
      <w:r>
        <w:rPr>
          <w:szCs w:val="24"/>
        </w:rPr>
        <w:t xml:space="preserve">Some information on </w:t>
      </w:r>
      <w:r w:rsidR="00865700" w:rsidRPr="00F42E00">
        <w:rPr>
          <w:szCs w:val="24"/>
        </w:rPr>
        <w:t xml:space="preserve">the non-bacterial components of the gut microbiota (fungi, viruses, protozoa and </w:t>
      </w:r>
      <w:r w:rsidR="00865700" w:rsidRPr="00F42E00">
        <w:rPr>
          <w:i/>
          <w:iCs/>
          <w:szCs w:val="24"/>
        </w:rPr>
        <w:t>arch</w:t>
      </w:r>
      <w:r w:rsidR="007573E5">
        <w:rPr>
          <w:i/>
          <w:iCs/>
          <w:szCs w:val="24"/>
        </w:rPr>
        <w:t>a</w:t>
      </w:r>
      <w:r w:rsidR="00865700" w:rsidRPr="00F42E00">
        <w:rPr>
          <w:i/>
          <w:iCs/>
          <w:szCs w:val="24"/>
        </w:rPr>
        <w:t>ea</w:t>
      </w:r>
      <w:r w:rsidR="00865700" w:rsidRPr="00F42E00">
        <w:rPr>
          <w:szCs w:val="24"/>
        </w:rPr>
        <w:t xml:space="preserve">) </w:t>
      </w:r>
      <w:r>
        <w:rPr>
          <w:szCs w:val="24"/>
        </w:rPr>
        <w:t>is</w:t>
      </w:r>
      <w:r w:rsidRPr="00F42E00">
        <w:rPr>
          <w:szCs w:val="24"/>
        </w:rPr>
        <w:t xml:space="preserve"> </w:t>
      </w:r>
      <w:r>
        <w:rPr>
          <w:szCs w:val="24"/>
        </w:rPr>
        <w:t xml:space="preserve">available </w:t>
      </w:r>
      <w:r w:rsidR="00865700" w:rsidRPr="00F42E00">
        <w:rPr>
          <w:szCs w:val="24"/>
        </w:rPr>
        <w:t>in the scientific literature</w:t>
      </w:r>
      <w:r w:rsidR="000B21EA" w:rsidRPr="00F42E00">
        <w:rPr>
          <w:szCs w:val="24"/>
        </w:rPr>
        <w:t xml:space="preserve"> but their interactions and possible contributions to the structure and function(s) of the flora as a whole are presently much less well characterised than those of the bacteria.</w:t>
      </w:r>
    </w:p>
    <w:p w:rsidR="00F42E00" w:rsidRDefault="00F42E00" w:rsidP="00F40887">
      <w:pPr>
        <w:pStyle w:val="ListParagraph"/>
      </w:pPr>
    </w:p>
    <w:p w:rsidR="00D77135" w:rsidRPr="00390AEE" w:rsidRDefault="00D77135" w:rsidP="00F40887">
      <w:pPr>
        <w:pStyle w:val="ListParagraph"/>
        <w:numPr>
          <w:ilvl w:val="2"/>
          <w:numId w:val="1"/>
        </w:numPr>
        <w:tabs>
          <w:tab w:val="left" w:pos="0"/>
        </w:tabs>
        <w:spacing w:before="240" w:line="240" w:lineRule="auto"/>
        <w:ind w:left="0" w:firstLine="0"/>
      </w:pPr>
      <w:r w:rsidRPr="00F42E00">
        <w:rPr>
          <w:szCs w:val="24"/>
        </w:rPr>
        <w:t>The majority of investigations into the effect</w:t>
      </w:r>
      <w:r w:rsidR="000D056D">
        <w:rPr>
          <w:szCs w:val="24"/>
        </w:rPr>
        <w:t>s</w:t>
      </w:r>
      <w:r w:rsidRPr="00F42E00">
        <w:rPr>
          <w:szCs w:val="24"/>
        </w:rPr>
        <w:t xml:space="preserve"> of xenobiotics on the gut microbiota have </w:t>
      </w:r>
      <w:r w:rsidR="000D056D">
        <w:rPr>
          <w:szCs w:val="24"/>
        </w:rPr>
        <w:t>utilised</w:t>
      </w:r>
      <w:r w:rsidR="000D056D" w:rsidRPr="00F42E00">
        <w:rPr>
          <w:szCs w:val="24"/>
        </w:rPr>
        <w:t xml:space="preserve"> </w:t>
      </w:r>
      <w:r w:rsidRPr="00F42E00">
        <w:rPr>
          <w:szCs w:val="24"/>
        </w:rPr>
        <w:t xml:space="preserve">animal models, the data from which have been </w:t>
      </w:r>
      <w:r w:rsidR="000D056D">
        <w:rPr>
          <w:szCs w:val="24"/>
        </w:rPr>
        <w:t>used</w:t>
      </w:r>
      <w:r w:rsidR="000D056D" w:rsidRPr="00F42E00">
        <w:rPr>
          <w:szCs w:val="24"/>
        </w:rPr>
        <w:t xml:space="preserve"> </w:t>
      </w:r>
      <w:r w:rsidR="00A44221" w:rsidRPr="00F42E00">
        <w:rPr>
          <w:szCs w:val="24"/>
        </w:rPr>
        <w:t>to</w:t>
      </w:r>
      <w:r w:rsidRPr="00F42E00">
        <w:rPr>
          <w:szCs w:val="24"/>
        </w:rPr>
        <w:t xml:space="preserve"> make statements about possible effects on the flora of humans. Such experiments have been performed as they have because of the favourable characteristics of the </w:t>
      </w:r>
      <w:r w:rsidR="00CB5E03" w:rsidRPr="00F42E00">
        <w:rPr>
          <w:szCs w:val="24"/>
        </w:rPr>
        <w:t>model (ease of handling and dosing, the ability to use large dosage groups</w:t>
      </w:r>
      <w:r w:rsidR="00B04D12" w:rsidRPr="00F42E00">
        <w:rPr>
          <w:szCs w:val="24"/>
        </w:rPr>
        <w:t>, analysis of gut compartments</w:t>
      </w:r>
      <w:r w:rsidR="00CB5E03" w:rsidRPr="00F42E00">
        <w:rPr>
          <w:szCs w:val="24"/>
        </w:rPr>
        <w:t>) and because it would not be possible or ethical to perform similar studies on humans.</w:t>
      </w:r>
    </w:p>
    <w:p w:rsidR="00390AEE" w:rsidRDefault="00390AEE" w:rsidP="00390AEE">
      <w:pPr>
        <w:pStyle w:val="ListParagraph"/>
      </w:pPr>
    </w:p>
    <w:p w:rsidR="00B04D12" w:rsidRPr="00F42E00" w:rsidRDefault="00E56BC1" w:rsidP="00F40887">
      <w:pPr>
        <w:pStyle w:val="ListParagraph"/>
        <w:numPr>
          <w:ilvl w:val="2"/>
          <w:numId w:val="1"/>
        </w:numPr>
        <w:tabs>
          <w:tab w:val="left" w:pos="0"/>
        </w:tabs>
        <w:spacing w:before="240" w:line="240" w:lineRule="auto"/>
        <w:ind w:left="0" w:firstLine="0"/>
      </w:pPr>
      <w:r>
        <w:rPr>
          <w:szCs w:val="24"/>
        </w:rPr>
        <w:t>I</w:t>
      </w:r>
      <w:r w:rsidR="00B04D12" w:rsidRPr="00F42E00">
        <w:rPr>
          <w:szCs w:val="24"/>
        </w:rPr>
        <w:t xml:space="preserve">t is known </w:t>
      </w:r>
      <w:r>
        <w:rPr>
          <w:szCs w:val="24"/>
        </w:rPr>
        <w:t xml:space="preserve">from animal studies </w:t>
      </w:r>
      <w:r w:rsidR="00B04D12" w:rsidRPr="00F42E00">
        <w:rPr>
          <w:szCs w:val="24"/>
        </w:rPr>
        <w:t xml:space="preserve">that the mobile luminal population of bacteria in the gut differs from the more fixed mucosal population so that changes in the faecal microbiota </w:t>
      </w:r>
      <w:r w:rsidR="000C5524" w:rsidRPr="00F42E00">
        <w:rPr>
          <w:szCs w:val="24"/>
        </w:rPr>
        <w:t>may not reflect changes in the whole community.</w:t>
      </w:r>
      <w:r w:rsidR="009E2B3E" w:rsidRPr="00F42E00">
        <w:rPr>
          <w:szCs w:val="24"/>
        </w:rPr>
        <w:t xml:space="preserve"> Therefore</w:t>
      </w:r>
      <w:r w:rsidR="00F807ED" w:rsidRPr="00F42E00">
        <w:rPr>
          <w:szCs w:val="24"/>
        </w:rPr>
        <w:t>,</w:t>
      </w:r>
      <w:r w:rsidR="009E2B3E" w:rsidRPr="00F42E00">
        <w:rPr>
          <w:szCs w:val="24"/>
        </w:rPr>
        <w:t xml:space="preserve"> </w:t>
      </w:r>
      <w:r w:rsidR="009E2B3E" w:rsidRPr="00F42E00">
        <w:rPr>
          <w:i/>
          <w:szCs w:val="24"/>
        </w:rPr>
        <w:t>ex vivo</w:t>
      </w:r>
      <w:r w:rsidR="009E2B3E" w:rsidRPr="00F42E00">
        <w:rPr>
          <w:szCs w:val="24"/>
        </w:rPr>
        <w:t xml:space="preserve"> model systems such as SHIME </w:t>
      </w:r>
      <w:r w:rsidR="00F807ED" w:rsidRPr="00F42E00">
        <w:rPr>
          <w:szCs w:val="24"/>
        </w:rPr>
        <w:t xml:space="preserve">address changes </w:t>
      </w:r>
      <w:r w:rsidR="000D056D" w:rsidRPr="00F42E00">
        <w:rPr>
          <w:szCs w:val="24"/>
        </w:rPr>
        <w:t xml:space="preserve">only </w:t>
      </w:r>
      <w:r w:rsidR="00F807ED" w:rsidRPr="00F42E00">
        <w:rPr>
          <w:szCs w:val="24"/>
        </w:rPr>
        <w:t xml:space="preserve">in the more tractable part of the bacterial community and still give an incomplete estimate of changes </w:t>
      </w:r>
      <w:r w:rsidR="000D056D">
        <w:rPr>
          <w:szCs w:val="24"/>
        </w:rPr>
        <w:t xml:space="preserve">in the community </w:t>
      </w:r>
      <w:r w:rsidR="00F807ED" w:rsidRPr="00F42E00">
        <w:rPr>
          <w:szCs w:val="24"/>
        </w:rPr>
        <w:t>as a whole.</w:t>
      </w:r>
    </w:p>
    <w:p w:rsidR="00F42E00" w:rsidRDefault="00F42E00" w:rsidP="00F40887">
      <w:pPr>
        <w:pStyle w:val="ListParagraph"/>
      </w:pPr>
    </w:p>
    <w:p w:rsidR="000C5524" w:rsidRPr="00C14FC0" w:rsidRDefault="000C5524" w:rsidP="00F40887">
      <w:pPr>
        <w:pStyle w:val="ListParagraph"/>
        <w:numPr>
          <w:ilvl w:val="2"/>
          <w:numId w:val="1"/>
        </w:numPr>
        <w:tabs>
          <w:tab w:val="left" w:pos="0"/>
        </w:tabs>
        <w:spacing w:before="240" w:line="240" w:lineRule="auto"/>
        <w:ind w:left="0" w:firstLine="0"/>
      </w:pPr>
      <w:r w:rsidRPr="00F42E00">
        <w:rPr>
          <w:szCs w:val="24"/>
        </w:rPr>
        <w:t>Although animal work has shown that many different types of xenobiotic appear to affect the balance of the gut microbiota</w:t>
      </w:r>
      <w:r w:rsidR="004C4C1C" w:rsidRPr="00F42E00">
        <w:rPr>
          <w:szCs w:val="24"/>
        </w:rPr>
        <w:t xml:space="preserve">, there is little unequivocal evidence </w:t>
      </w:r>
      <w:r w:rsidR="00D04FC3" w:rsidRPr="00F42E00">
        <w:rPr>
          <w:szCs w:val="24"/>
        </w:rPr>
        <w:t>as to whether</w:t>
      </w:r>
      <w:r w:rsidR="004C4C1C" w:rsidRPr="00F42E00">
        <w:rPr>
          <w:szCs w:val="24"/>
        </w:rPr>
        <w:t xml:space="preserve"> these changes are pathological</w:t>
      </w:r>
      <w:r w:rsidR="00D35F42">
        <w:rPr>
          <w:szCs w:val="24"/>
        </w:rPr>
        <w:t xml:space="preserve">, or at least have any physiological significance </w:t>
      </w:r>
      <w:r w:rsidR="004C4C1C" w:rsidRPr="00F42E00">
        <w:rPr>
          <w:szCs w:val="24"/>
        </w:rPr>
        <w:t>to the host</w:t>
      </w:r>
      <w:r w:rsidR="0080655E" w:rsidRPr="00F42E00">
        <w:rPr>
          <w:szCs w:val="24"/>
        </w:rPr>
        <w:t xml:space="preserve"> or </w:t>
      </w:r>
      <w:r w:rsidR="00D35F42">
        <w:rPr>
          <w:szCs w:val="24"/>
        </w:rPr>
        <w:t xml:space="preserve">are </w:t>
      </w:r>
      <w:r w:rsidR="0080655E" w:rsidRPr="00F42E00">
        <w:rPr>
          <w:szCs w:val="24"/>
        </w:rPr>
        <w:t>adaptive</w:t>
      </w:r>
      <w:r w:rsidR="00D04FC3" w:rsidRPr="00F42E00">
        <w:rPr>
          <w:szCs w:val="24"/>
        </w:rPr>
        <w:t xml:space="preserve"> in nature</w:t>
      </w:r>
      <w:r w:rsidR="0080655E" w:rsidRPr="00F42E00">
        <w:rPr>
          <w:szCs w:val="24"/>
        </w:rPr>
        <w:t>.</w:t>
      </w:r>
      <w:r w:rsidR="00D80343">
        <w:rPr>
          <w:szCs w:val="24"/>
        </w:rPr>
        <w:t xml:space="preserve"> In addition, it is largely unclear on how to extrapolate effects observed at the </w:t>
      </w:r>
      <w:proofErr w:type="gramStart"/>
      <w:r w:rsidR="00D80343">
        <w:rPr>
          <w:szCs w:val="24"/>
        </w:rPr>
        <w:t>often high</w:t>
      </w:r>
      <w:proofErr w:type="gramEnd"/>
      <w:r w:rsidR="00D80343">
        <w:rPr>
          <w:szCs w:val="24"/>
        </w:rPr>
        <w:t xml:space="preserve"> doses used in animal studies to typical human exposure levels.</w:t>
      </w:r>
    </w:p>
    <w:p w:rsidR="00C14FC0" w:rsidRDefault="00C14FC0" w:rsidP="00F40887">
      <w:pPr>
        <w:pStyle w:val="ListParagraph"/>
      </w:pPr>
    </w:p>
    <w:p w:rsidR="0080655E" w:rsidRPr="00C14FC0" w:rsidRDefault="0080655E" w:rsidP="00F40887">
      <w:pPr>
        <w:pStyle w:val="ListParagraph"/>
        <w:numPr>
          <w:ilvl w:val="2"/>
          <w:numId w:val="1"/>
        </w:numPr>
        <w:tabs>
          <w:tab w:val="left" w:pos="0"/>
        </w:tabs>
        <w:spacing w:before="240" w:line="240" w:lineRule="auto"/>
        <w:ind w:left="0" w:firstLine="0"/>
      </w:pPr>
      <w:r w:rsidRPr="00C14FC0">
        <w:rPr>
          <w:szCs w:val="24"/>
        </w:rPr>
        <w:t>Human studies have shown that although the balance of the measurable microbiota can be altered by the presence of ingested xenobiotics</w:t>
      </w:r>
      <w:r w:rsidR="00846699" w:rsidRPr="00C14FC0">
        <w:rPr>
          <w:szCs w:val="24"/>
        </w:rPr>
        <w:t xml:space="preserve">, </w:t>
      </w:r>
      <w:r w:rsidR="00FF5044" w:rsidRPr="00C14FC0">
        <w:rPr>
          <w:szCs w:val="24"/>
        </w:rPr>
        <w:t xml:space="preserve">even </w:t>
      </w:r>
      <w:r w:rsidR="00D80343">
        <w:rPr>
          <w:szCs w:val="24"/>
        </w:rPr>
        <w:t xml:space="preserve">many of </w:t>
      </w:r>
      <w:r w:rsidR="00FF5044" w:rsidRPr="00C14FC0">
        <w:rPr>
          <w:szCs w:val="24"/>
        </w:rPr>
        <w:t xml:space="preserve">the changes brought about by oral antibiotics </w:t>
      </w:r>
      <w:r w:rsidR="00D04FC3" w:rsidRPr="00C14FC0">
        <w:rPr>
          <w:szCs w:val="24"/>
        </w:rPr>
        <w:t>have been observed to b</w:t>
      </w:r>
      <w:r w:rsidR="00FF5044" w:rsidRPr="00C14FC0">
        <w:rPr>
          <w:szCs w:val="24"/>
        </w:rPr>
        <w:t>e smaller than differences between apparently healthy individuals</w:t>
      </w:r>
    </w:p>
    <w:p w:rsidR="00C14FC0" w:rsidRDefault="00C14FC0" w:rsidP="00F40887">
      <w:pPr>
        <w:pStyle w:val="ListParagraph"/>
      </w:pPr>
    </w:p>
    <w:p w:rsidR="00C14FC0" w:rsidRDefault="00C14FC0" w:rsidP="00272F8A">
      <w:pPr>
        <w:pStyle w:val="ListParagraph"/>
        <w:tabs>
          <w:tab w:val="left" w:pos="0"/>
        </w:tabs>
        <w:spacing w:before="240" w:line="240" w:lineRule="auto"/>
        <w:ind w:left="801"/>
      </w:pPr>
    </w:p>
    <w:p w:rsidR="000F17C9" w:rsidRPr="00C14FC0" w:rsidRDefault="000F17C9" w:rsidP="00F40887">
      <w:pPr>
        <w:pStyle w:val="ListParagraph"/>
        <w:numPr>
          <w:ilvl w:val="2"/>
          <w:numId w:val="1"/>
        </w:numPr>
        <w:tabs>
          <w:tab w:val="left" w:pos="0"/>
        </w:tabs>
        <w:spacing w:before="240" w:line="240" w:lineRule="auto"/>
        <w:ind w:left="0" w:firstLine="0"/>
      </w:pPr>
      <w:r w:rsidRPr="00C14FC0">
        <w:rPr>
          <w:szCs w:val="24"/>
        </w:rPr>
        <w:t xml:space="preserve">Despite sometimes large-scale variability in the composition </w:t>
      </w:r>
      <w:r w:rsidR="006506EA" w:rsidRPr="00C14FC0">
        <w:rPr>
          <w:szCs w:val="24"/>
        </w:rPr>
        <w:t>between</w:t>
      </w:r>
      <w:r w:rsidRPr="00C14FC0">
        <w:rPr>
          <w:szCs w:val="24"/>
        </w:rPr>
        <w:t xml:space="preserve"> </w:t>
      </w:r>
      <w:r w:rsidR="006506EA" w:rsidRPr="00C14FC0">
        <w:rPr>
          <w:szCs w:val="24"/>
        </w:rPr>
        <w:t xml:space="preserve">healthy </w:t>
      </w:r>
      <w:r w:rsidRPr="00C14FC0">
        <w:rPr>
          <w:szCs w:val="24"/>
        </w:rPr>
        <w:t>individuals</w:t>
      </w:r>
      <w:r w:rsidR="006506EA" w:rsidRPr="00C14FC0">
        <w:rPr>
          <w:szCs w:val="24"/>
        </w:rPr>
        <w:t>’</w:t>
      </w:r>
      <w:r w:rsidRPr="00C14FC0">
        <w:rPr>
          <w:szCs w:val="24"/>
        </w:rPr>
        <w:t xml:space="preserve"> gut microbiota</w:t>
      </w:r>
      <w:r w:rsidR="006506EA" w:rsidRPr="00C14FC0">
        <w:rPr>
          <w:szCs w:val="24"/>
        </w:rPr>
        <w:t xml:space="preserve"> as well as</w:t>
      </w:r>
      <w:r w:rsidRPr="00C14FC0">
        <w:rPr>
          <w:szCs w:val="24"/>
        </w:rPr>
        <w:t xml:space="preserve"> in response to xenobiotics or in the presence of conditions such as inflammatory bowel disease, there appears to be redundancy of functionality due to different taxa of bacteria expressing different gene products with </w:t>
      </w:r>
      <w:r w:rsidR="00D80343">
        <w:rPr>
          <w:szCs w:val="24"/>
        </w:rPr>
        <w:t>comparable</w:t>
      </w:r>
      <w:r w:rsidR="00D80343" w:rsidRPr="00C14FC0">
        <w:rPr>
          <w:szCs w:val="24"/>
        </w:rPr>
        <w:t xml:space="preserve"> </w:t>
      </w:r>
      <w:r w:rsidRPr="00C14FC0">
        <w:rPr>
          <w:szCs w:val="24"/>
        </w:rPr>
        <w:t>activities. Thus</w:t>
      </w:r>
      <w:r w:rsidR="006506EA" w:rsidRPr="00C14FC0">
        <w:rPr>
          <w:szCs w:val="24"/>
        </w:rPr>
        <w:t>,</w:t>
      </w:r>
      <w:r w:rsidRPr="00C14FC0">
        <w:rPr>
          <w:szCs w:val="24"/>
        </w:rPr>
        <w:t xml:space="preserve"> structural dysbiosis</w:t>
      </w:r>
      <w:r w:rsidR="006506EA" w:rsidRPr="00C14FC0">
        <w:rPr>
          <w:szCs w:val="24"/>
        </w:rPr>
        <w:t>, depending upon the taxa</w:t>
      </w:r>
      <w:r w:rsidR="00014A4B" w:rsidRPr="00C14FC0">
        <w:rPr>
          <w:szCs w:val="24"/>
        </w:rPr>
        <w:t xml:space="preserve"> affected, may not always lead to a large change in overall function causing detriment to the host.</w:t>
      </w:r>
    </w:p>
    <w:p w:rsidR="00C14FC0" w:rsidRDefault="00C14FC0" w:rsidP="00F40887">
      <w:pPr>
        <w:pStyle w:val="ListParagraph"/>
      </w:pPr>
    </w:p>
    <w:p w:rsidR="0094453D" w:rsidRPr="00C14FC0" w:rsidRDefault="0094453D" w:rsidP="00F40887">
      <w:pPr>
        <w:pStyle w:val="ListParagraph"/>
        <w:numPr>
          <w:ilvl w:val="2"/>
          <w:numId w:val="1"/>
        </w:numPr>
        <w:tabs>
          <w:tab w:val="left" w:pos="0"/>
        </w:tabs>
        <w:spacing w:before="240" w:line="240" w:lineRule="auto"/>
        <w:ind w:left="0" w:firstLine="0"/>
      </w:pPr>
      <w:r w:rsidRPr="00C14FC0">
        <w:rPr>
          <w:szCs w:val="24"/>
        </w:rPr>
        <w:t xml:space="preserve">The gut microbiota also appear to participate in the activation and deactivation of ingested substances, including </w:t>
      </w:r>
      <w:r w:rsidR="00262106" w:rsidRPr="00C14FC0">
        <w:rPr>
          <w:szCs w:val="24"/>
        </w:rPr>
        <w:t>effecting or affecting t</w:t>
      </w:r>
      <w:r w:rsidRPr="00C14FC0">
        <w:rPr>
          <w:szCs w:val="24"/>
        </w:rPr>
        <w:t>he action of some pharmaceuticals</w:t>
      </w:r>
      <w:r w:rsidR="00D901C5" w:rsidRPr="00C14FC0">
        <w:rPr>
          <w:szCs w:val="24"/>
        </w:rPr>
        <w:t>,</w:t>
      </w:r>
      <w:r w:rsidRPr="00C14FC0">
        <w:rPr>
          <w:szCs w:val="24"/>
        </w:rPr>
        <w:t xml:space="preserve"> and thus may lead to toxicity, or </w:t>
      </w:r>
      <w:r w:rsidR="00262106" w:rsidRPr="00C14FC0">
        <w:rPr>
          <w:szCs w:val="24"/>
        </w:rPr>
        <w:t>to intended</w:t>
      </w:r>
      <w:r w:rsidR="00F90514" w:rsidRPr="00C14FC0">
        <w:rPr>
          <w:szCs w:val="24"/>
        </w:rPr>
        <w:t xml:space="preserve">, </w:t>
      </w:r>
      <w:r w:rsidRPr="00C14FC0">
        <w:rPr>
          <w:szCs w:val="24"/>
        </w:rPr>
        <w:t>reduced or prolonged pharmacological action.</w:t>
      </w:r>
    </w:p>
    <w:p w:rsidR="00C14FC0" w:rsidRDefault="00C14FC0" w:rsidP="00F40887">
      <w:pPr>
        <w:pStyle w:val="ListParagraph"/>
      </w:pPr>
    </w:p>
    <w:p w:rsidR="00347DFA" w:rsidRPr="00C14FC0" w:rsidRDefault="0094453D" w:rsidP="00F40887">
      <w:pPr>
        <w:pStyle w:val="ListParagraph"/>
        <w:numPr>
          <w:ilvl w:val="2"/>
          <w:numId w:val="1"/>
        </w:numPr>
        <w:tabs>
          <w:tab w:val="left" w:pos="0"/>
        </w:tabs>
        <w:spacing w:before="240" w:line="240" w:lineRule="auto"/>
        <w:ind w:left="0" w:firstLine="0"/>
      </w:pPr>
      <w:r w:rsidRPr="00C14FC0">
        <w:rPr>
          <w:szCs w:val="24"/>
        </w:rPr>
        <w:t>The presence of some bacterial taxa has been associated with metabolic defects in the host</w:t>
      </w:r>
      <w:r w:rsidR="00812C0A" w:rsidRPr="00C14FC0">
        <w:rPr>
          <w:szCs w:val="24"/>
        </w:rPr>
        <w:t xml:space="preserve"> and others with good health and barrier function of the epithelium</w:t>
      </w:r>
      <w:r w:rsidR="00CD5B1D" w:rsidRPr="00C14FC0">
        <w:rPr>
          <w:szCs w:val="24"/>
        </w:rPr>
        <w:t>,</w:t>
      </w:r>
      <w:r w:rsidR="00812C0A" w:rsidRPr="00C14FC0">
        <w:rPr>
          <w:szCs w:val="24"/>
        </w:rPr>
        <w:t xml:space="preserve"> but the mechanisms involved have yet to be fully elucidated.</w:t>
      </w:r>
      <w:r w:rsidR="00E52A94" w:rsidRPr="00C14FC0">
        <w:rPr>
          <w:szCs w:val="24"/>
        </w:rPr>
        <w:t xml:space="preserve"> The change in the balance of gut bacteria and the development of diseases such as type 2 diabetes, obesity and neurological deficits is </w:t>
      </w:r>
      <w:r w:rsidR="00D04FC3" w:rsidRPr="00C14FC0">
        <w:rPr>
          <w:szCs w:val="24"/>
        </w:rPr>
        <w:t xml:space="preserve">so far </w:t>
      </w:r>
      <w:r w:rsidR="00E52A94" w:rsidRPr="00C14FC0">
        <w:rPr>
          <w:szCs w:val="24"/>
        </w:rPr>
        <w:t>correlative</w:t>
      </w:r>
      <w:r w:rsidR="00D04FC3" w:rsidRPr="00C14FC0">
        <w:rPr>
          <w:szCs w:val="24"/>
        </w:rPr>
        <w:t>,</w:t>
      </w:r>
      <w:r w:rsidR="00184051" w:rsidRPr="00C14FC0">
        <w:rPr>
          <w:szCs w:val="24"/>
        </w:rPr>
        <w:t xml:space="preserve"> without definitive evidence of causation.</w:t>
      </w:r>
      <w:r w:rsidR="00D80343">
        <w:rPr>
          <w:szCs w:val="24"/>
        </w:rPr>
        <w:t xml:space="preserve"> Nevertheless, this is an area of active research with potential major implications for understanding of the pathophysiology of a number of major human diseases.</w:t>
      </w:r>
    </w:p>
    <w:p w:rsidR="00C14FC0" w:rsidRDefault="00C14FC0" w:rsidP="00F40887">
      <w:pPr>
        <w:pStyle w:val="ListParagraph"/>
      </w:pPr>
    </w:p>
    <w:p w:rsidR="000509CA" w:rsidRPr="00D80343" w:rsidRDefault="000509CA" w:rsidP="00F40887">
      <w:pPr>
        <w:pStyle w:val="ListParagraph"/>
        <w:numPr>
          <w:ilvl w:val="2"/>
          <w:numId w:val="1"/>
        </w:numPr>
        <w:tabs>
          <w:tab w:val="left" w:pos="0"/>
        </w:tabs>
        <w:spacing w:before="240" w:line="240" w:lineRule="auto"/>
        <w:ind w:left="0" w:firstLine="0"/>
      </w:pPr>
      <w:r w:rsidRPr="00C14FC0">
        <w:rPr>
          <w:szCs w:val="24"/>
        </w:rPr>
        <w:t xml:space="preserve">Given the current interest in personalised medicine, it is possible that attempts will be made to utilise </w:t>
      </w:r>
      <w:r w:rsidR="00B10B49" w:rsidRPr="00C14FC0">
        <w:rPr>
          <w:szCs w:val="24"/>
        </w:rPr>
        <w:t>an individual’s</w:t>
      </w:r>
      <w:r w:rsidRPr="00C14FC0">
        <w:rPr>
          <w:szCs w:val="24"/>
        </w:rPr>
        <w:t xml:space="preserve"> gut microbiota </w:t>
      </w:r>
      <w:r w:rsidR="00B10B49" w:rsidRPr="00C14FC0">
        <w:rPr>
          <w:szCs w:val="24"/>
        </w:rPr>
        <w:t>to</w:t>
      </w:r>
      <w:r w:rsidRPr="00C14FC0">
        <w:rPr>
          <w:szCs w:val="24"/>
        </w:rPr>
        <w:t xml:space="preserve"> tailor treatments for gastrointestinal or systemic pathologies in which they or their metabolic capacity are </w:t>
      </w:r>
      <w:r w:rsidR="00D04FC3" w:rsidRPr="00C14FC0">
        <w:rPr>
          <w:szCs w:val="24"/>
        </w:rPr>
        <w:t xml:space="preserve">purported to be </w:t>
      </w:r>
      <w:r w:rsidRPr="00C14FC0">
        <w:rPr>
          <w:szCs w:val="24"/>
        </w:rPr>
        <w:t xml:space="preserve">involved. </w:t>
      </w:r>
      <w:r w:rsidR="00B10B49" w:rsidRPr="00C14FC0">
        <w:rPr>
          <w:szCs w:val="24"/>
        </w:rPr>
        <w:t xml:space="preserve"> </w:t>
      </w:r>
      <w:r w:rsidR="00C36801" w:rsidRPr="00C14FC0">
        <w:rPr>
          <w:szCs w:val="24"/>
        </w:rPr>
        <w:t xml:space="preserve">Achieving this would also allow a precise, personal risk assessment of the toxicity of an encountered xenobiotic. </w:t>
      </w:r>
      <w:r w:rsidR="00B10B49" w:rsidRPr="00C14FC0">
        <w:rPr>
          <w:szCs w:val="24"/>
        </w:rPr>
        <w:t>This, however, would require knowledge of the organisms and the causal links involved, which</w:t>
      </w:r>
      <w:r w:rsidR="00C4086F" w:rsidRPr="00C14FC0">
        <w:rPr>
          <w:szCs w:val="24"/>
        </w:rPr>
        <w:t xml:space="preserve"> in most cases</w:t>
      </w:r>
      <w:r w:rsidR="00B10B49" w:rsidRPr="00C14FC0">
        <w:rPr>
          <w:szCs w:val="24"/>
        </w:rPr>
        <w:t xml:space="preserve"> is currently unavailable. </w:t>
      </w:r>
    </w:p>
    <w:p w:rsidR="00D80343" w:rsidRDefault="00D80343" w:rsidP="003738AC">
      <w:pPr>
        <w:pStyle w:val="ListParagraph"/>
      </w:pPr>
    </w:p>
    <w:p w:rsidR="00D80343" w:rsidRPr="00C14FC0" w:rsidRDefault="00D80343" w:rsidP="00F40887">
      <w:pPr>
        <w:pStyle w:val="ListParagraph"/>
        <w:numPr>
          <w:ilvl w:val="2"/>
          <w:numId w:val="1"/>
        </w:numPr>
        <w:tabs>
          <w:tab w:val="left" w:pos="0"/>
        </w:tabs>
        <w:spacing w:before="240" w:line="240" w:lineRule="auto"/>
        <w:ind w:left="0" w:firstLine="0"/>
      </w:pPr>
      <w:bookmarkStart w:id="6" w:name="_Hlk46737984"/>
      <w:r>
        <w:t>The Committee recognises that the human gut microbiome is currently an area of major research focus and will keep the subject under review, particularly with respect to possible implications for chemical risk assessment.</w:t>
      </w:r>
    </w:p>
    <w:p w:rsidR="00CB6EF2" w:rsidRDefault="00CB6EF2">
      <w:pPr>
        <w:rPr>
          <w:szCs w:val="24"/>
        </w:rPr>
      </w:pPr>
    </w:p>
    <w:bookmarkEnd w:id="6"/>
    <w:p w:rsidR="00CB6EF2" w:rsidRPr="00A44221" w:rsidRDefault="00CB6EF2">
      <w:pPr>
        <w:rPr>
          <w:b/>
          <w:szCs w:val="24"/>
        </w:rPr>
      </w:pPr>
      <w:r w:rsidRPr="00A44221">
        <w:rPr>
          <w:b/>
          <w:szCs w:val="24"/>
        </w:rPr>
        <w:t>Secretariat</w:t>
      </w:r>
    </w:p>
    <w:p w:rsidR="000E22C7" w:rsidRPr="00F94FA9" w:rsidRDefault="00A25BD3">
      <w:pPr>
        <w:rPr>
          <w:szCs w:val="24"/>
        </w:rPr>
      </w:pPr>
      <w:r>
        <w:rPr>
          <w:b/>
          <w:szCs w:val="24"/>
        </w:rPr>
        <w:t>May</w:t>
      </w:r>
      <w:r w:rsidR="009A5025" w:rsidRPr="00A44221">
        <w:rPr>
          <w:b/>
          <w:szCs w:val="24"/>
        </w:rPr>
        <w:t xml:space="preserve"> 2020</w:t>
      </w:r>
      <w:r w:rsidR="000E22C7" w:rsidRPr="00F94FA9">
        <w:rPr>
          <w:szCs w:val="24"/>
        </w:rPr>
        <w:br w:type="page"/>
      </w:r>
    </w:p>
    <w:p w:rsidR="00D910FC" w:rsidRPr="00F94FA9" w:rsidRDefault="00D910FC" w:rsidP="00D910FC">
      <w:pPr>
        <w:pStyle w:val="ListParagraph"/>
        <w:spacing w:before="240"/>
        <w:ind w:left="1080"/>
        <w:rPr>
          <w:szCs w:val="24"/>
        </w:rPr>
      </w:pPr>
    </w:p>
    <w:p w:rsidR="009149E2" w:rsidRPr="00F94FA9" w:rsidRDefault="00D910FC" w:rsidP="009149E2">
      <w:pPr>
        <w:pStyle w:val="ListParagraph"/>
        <w:spacing w:before="240"/>
        <w:ind w:left="0"/>
        <w:rPr>
          <w:b/>
          <w:szCs w:val="24"/>
        </w:rPr>
      </w:pPr>
      <w:r w:rsidRPr="00F94FA9">
        <w:rPr>
          <w:b/>
          <w:szCs w:val="24"/>
        </w:rPr>
        <w:t>References</w:t>
      </w:r>
      <w:r w:rsidR="00540FEA" w:rsidRPr="00F94FA9">
        <w:rPr>
          <w:b/>
          <w:szCs w:val="24"/>
        </w:rPr>
        <w:t xml:space="preserve"> </w:t>
      </w:r>
      <w:bookmarkStart w:id="7" w:name="_Hlk12443364"/>
    </w:p>
    <w:p w:rsidR="00D8136A" w:rsidRPr="00F94FA9" w:rsidRDefault="00D8136A" w:rsidP="009149E2">
      <w:pPr>
        <w:pStyle w:val="ListParagraph"/>
        <w:spacing w:before="240"/>
        <w:ind w:left="0"/>
        <w:rPr>
          <w:szCs w:val="24"/>
        </w:rPr>
      </w:pPr>
    </w:p>
    <w:bookmarkEnd w:id="7"/>
    <w:p w:rsidR="00A53B42" w:rsidRPr="00A53B42" w:rsidRDefault="00A53B42" w:rsidP="00540FEA">
      <w:pPr>
        <w:pStyle w:val="ListParagraph"/>
        <w:spacing w:before="240"/>
        <w:ind w:left="0"/>
        <w:rPr>
          <w:szCs w:val="24"/>
        </w:rPr>
      </w:pPr>
      <w:r>
        <w:rPr>
          <w:szCs w:val="24"/>
        </w:rPr>
        <w:t xml:space="preserve">Aggarwala V, Liang G, Bushman FD. Viral communities of the human gut: metagenomic analysis of composition and dynamics. Mobile DNA 2017 </w:t>
      </w:r>
      <w:r>
        <w:rPr>
          <w:b/>
          <w:bCs/>
          <w:szCs w:val="24"/>
        </w:rPr>
        <w:t>8</w:t>
      </w:r>
      <w:r>
        <w:rPr>
          <w:szCs w:val="24"/>
        </w:rPr>
        <w:t xml:space="preserve">: 12 </w:t>
      </w:r>
      <w:r w:rsidR="00615213">
        <w:rPr>
          <w:szCs w:val="24"/>
        </w:rPr>
        <w:t>–</w:t>
      </w:r>
      <w:r>
        <w:rPr>
          <w:szCs w:val="24"/>
        </w:rPr>
        <w:t xml:space="preserve"> 21</w:t>
      </w:r>
      <w:r w:rsidR="00615213">
        <w:rPr>
          <w:szCs w:val="24"/>
        </w:rPr>
        <w:t>.</w:t>
      </w:r>
    </w:p>
    <w:p w:rsidR="00A53B42" w:rsidRDefault="00A53B42" w:rsidP="00540FEA">
      <w:pPr>
        <w:pStyle w:val="ListParagraph"/>
        <w:spacing w:before="240"/>
        <w:ind w:left="0"/>
        <w:rPr>
          <w:szCs w:val="24"/>
        </w:rPr>
      </w:pPr>
    </w:p>
    <w:p w:rsidR="00D8136A" w:rsidRDefault="00D8136A" w:rsidP="00540FEA">
      <w:pPr>
        <w:pStyle w:val="ListParagraph"/>
        <w:spacing w:before="240"/>
        <w:ind w:left="0"/>
        <w:rPr>
          <w:szCs w:val="24"/>
        </w:rPr>
      </w:pPr>
      <w:r w:rsidRPr="00F94FA9">
        <w:rPr>
          <w:szCs w:val="24"/>
        </w:rPr>
        <w:t xml:space="preserve">Aitbali Y, BaM’hamed S, Elhider N, Nafis A, Soraa N. Glyphosate-based-herbicide exposure affects gut microbiota, anxiety and depression-like behaviours in mice. Neurotoxicology and Teratology 2018 </w:t>
      </w:r>
      <w:r w:rsidRPr="00F94FA9">
        <w:rPr>
          <w:b/>
          <w:szCs w:val="24"/>
        </w:rPr>
        <w:t>67</w:t>
      </w:r>
      <w:r w:rsidRPr="00F94FA9">
        <w:rPr>
          <w:szCs w:val="24"/>
        </w:rPr>
        <w:t>: 44 – 49.</w:t>
      </w:r>
    </w:p>
    <w:p w:rsidR="00124FD9" w:rsidRDefault="00124FD9" w:rsidP="00540FEA">
      <w:pPr>
        <w:pStyle w:val="ListParagraph"/>
        <w:spacing w:before="240"/>
        <w:ind w:left="0"/>
        <w:rPr>
          <w:szCs w:val="24"/>
        </w:rPr>
      </w:pPr>
    </w:p>
    <w:p w:rsidR="00124FD9" w:rsidRPr="00124FD9" w:rsidRDefault="00124FD9" w:rsidP="00540FEA">
      <w:pPr>
        <w:pStyle w:val="ListParagraph"/>
        <w:spacing w:before="240"/>
        <w:ind w:left="0"/>
        <w:rPr>
          <w:szCs w:val="24"/>
        </w:rPr>
      </w:pPr>
      <w:r>
        <w:rPr>
          <w:szCs w:val="24"/>
        </w:rPr>
        <w:t xml:space="preserve">Arat S, Spivak A, Van Horn S, Thomas E, Traini C, Sathe G, Livi GP, Ingraham K, Jones L, Aubert K, Ho;lmes DJ, narerer O, Brown JR. Microbiome changes in healthy volunteers treated with GSK1322322, a novel antibiotic targeting bacterial peptide deformylase. Antimicrobial Agents and Chemotherapy 2015 </w:t>
      </w:r>
      <w:r>
        <w:rPr>
          <w:b/>
          <w:szCs w:val="24"/>
        </w:rPr>
        <w:t>59</w:t>
      </w:r>
      <w:r>
        <w:rPr>
          <w:szCs w:val="24"/>
        </w:rPr>
        <w:t>(2): 1182 – 1192.</w:t>
      </w:r>
    </w:p>
    <w:p w:rsidR="00D8136A" w:rsidRPr="00F94FA9" w:rsidRDefault="00D8136A" w:rsidP="00540FEA">
      <w:pPr>
        <w:pStyle w:val="ListParagraph"/>
        <w:spacing w:before="240"/>
        <w:ind w:left="0"/>
        <w:rPr>
          <w:szCs w:val="24"/>
        </w:rPr>
      </w:pPr>
    </w:p>
    <w:p w:rsidR="00D8136A" w:rsidRPr="00F94FA9" w:rsidRDefault="00D8136A" w:rsidP="00812453">
      <w:pPr>
        <w:pStyle w:val="ListParagraph"/>
        <w:spacing w:before="240"/>
        <w:ind w:left="0"/>
      </w:pPr>
      <w:r w:rsidRPr="00F94FA9">
        <w:t xml:space="preserve">Ba </w:t>
      </w:r>
      <w:r w:rsidR="00E612D8">
        <w:t>Q</w:t>
      </w:r>
      <w:r w:rsidRPr="00F94FA9">
        <w:t xml:space="preserve">, Li M, Chan P, Huang C, Duan X, Lu L, Li J, Chu R, Xie D, Song H, Wu Y, Ying H, Jia X, Wang H. Sex-dependent effects if cadmium in early life on gut microbiota and fat accumulation in mice. Environmental Health Perspectives 2017 </w:t>
      </w:r>
      <w:r w:rsidRPr="00F94FA9">
        <w:rPr>
          <w:b/>
        </w:rPr>
        <w:t>123</w:t>
      </w:r>
      <w:r w:rsidRPr="00F94FA9">
        <w:t>(3): 437 – 446.</w:t>
      </w:r>
    </w:p>
    <w:p w:rsidR="00B54C5B" w:rsidRPr="00F94FA9" w:rsidRDefault="00B54C5B" w:rsidP="00812453">
      <w:pPr>
        <w:pStyle w:val="ListParagraph"/>
        <w:spacing w:before="240"/>
        <w:ind w:left="0"/>
      </w:pPr>
    </w:p>
    <w:p w:rsidR="00B54C5B" w:rsidRPr="00F94FA9" w:rsidRDefault="00B54C5B" w:rsidP="00812453">
      <w:pPr>
        <w:pStyle w:val="ListParagraph"/>
        <w:spacing w:before="240"/>
        <w:ind w:left="0"/>
      </w:pPr>
      <w:r w:rsidRPr="00F94FA9">
        <w:t xml:space="preserve">Banerjee S, Sindberg G, Wang F, Meng J, Sharma U, Zhang L, Dauer P, Chen C, Dalluge J, Johnson T, Roy S. Opioid-induced gut microbial disruption and bile dysregulation leads to gut barrier compromise and sustained systematic inflammation. Mucosal Immunology 2019 </w:t>
      </w:r>
      <w:r w:rsidRPr="00F94FA9">
        <w:rPr>
          <w:b/>
        </w:rPr>
        <w:t>8</w:t>
      </w:r>
      <w:r w:rsidRPr="00F94FA9">
        <w:t>(6): 1418 – 1428.</w:t>
      </w:r>
    </w:p>
    <w:p w:rsidR="00D8136A" w:rsidRPr="00F94FA9" w:rsidRDefault="00D8136A" w:rsidP="00812453">
      <w:pPr>
        <w:pStyle w:val="ListParagraph"/>
        <w:spacing w:before="240"/>
        <w:ind w:left="0"/>
        <w:rPr>
          <w:i/>
        </w:rPr>
      </w:pPr>
    </w:p>
    <w:p w:rsidR="00D8136A" w:rsidRDefault="00D8136A" w:rsidP="00DD19CC">
      <w:pPr>
        <w:pStyle w:val="ListParagraph"/>
        <w:spacing w:before="240"/>
        <w:ind w:left="0"/>
      </w:pPr>
      <w:r w:rsidRPr="00F94FA9">
        <w:t xml:space="preserve">Beer F, Urbat F, Franz CMAP, Huch M, Kulling SE, Bunzel M, Bunzel D. The human fecal microbiota metabolizes foodborne heterocyclic aromatic amines by reuterin conjugation and further transformations. Molecular Nutrition and Food Research2019 </w:t>
      </w:r>
      <w:r w:rsidRPr="00F94FA9">
        <w:rPr>
          <w:b/>
        </w:rPr>
        <w:t>63</w:t>
      </w:r>
      <w:r w:rsidRPr="00F94FA9">
        <w:t>: doi: 10.1002/mnfr.2018117</w:t>
      </w:r>
      <w:r w:rsidR="00943795">
        <w:t>.</w:t>
      </w:r>
    </w:p>
    <w:p w:rsidR="00943795" w:rsidRDefault="00943795" w:rsidP="00DD19CC">
      <w:pPr>
        <w:pStyle w:val="ListParagraph"/>
        <w:spacing w:before="240"/>
        <w:ind w:left="0"/>
      </w:pPr>
    </w:p>
    <w:p w:rsidR="00943795" w:rsidRPr="00615213" w:rsidRDefault="00943795" w:rsidP="00DD19CC">
      <w:pPr>
        <w:pStyle w:val="ListParagraph"/>
        <w:spacing w:before="240"/>
        <w:ind w:left="0"/>
      </w:pPr>
      <w:r>
        <w:t>Berrilli F, Cave DD, Cavallero S, D’Amelio S. Interactions between parasites and microbial communities in the human gut. Cellular and Infection Microbiology</w:t>
      </w:r>
      <w:r w:rsidR="00615213">
        <w:t xml:space="preserve"> 2012 </w:t>
      </w:r>
      <w:r w:rsidR="00615213">
        <w:rPr>
          <w:b/>
          <w:bCs/>
        </w:rPr>
        <w:t xml:space="preserve">2 </w:t>
      </w:r>
      <w:r w:rsidR="00615213">
        <w:t>doi: 10.3389/fcimb.2012.00141.</w:t>
      </w:r>
    </w:p>
    <w:p w:rsidR="00D8136A" w:rsidRPr="00F94FA9" w:rsidRDefault="00D8136A" w:rsidP="00DD19CC">
      <w:pPr>
        <w:pStyle w:val="ListParagraph"/>
        <w:spacing w:before="240"/>
        <w:ind w:left="0"/>
      </w:pPr>
    </w:p>
    <w:p w:rsidR="00D8136A" w:rsidRPr="00F94FA9" w:rsidRDefault="00D8136A" w:rsidP="00CE7094">
      <w:pPr>
        <w:pStyle w:val="ListParagraph"/>
        <w:spacing w:before="240"/>
        <w:ind w:left="0"/>
      </w:pPr>
      <w:r w:rsidRPr="00F94FA9">
        <w:t>Bian X, Chi L, Cao B, Tu P, Ru H, Lu K. The artificial sweetener a</w:t>
      </w:r>
      <w:r w:rsidR="00D83429">
        <w:t>es</w:t>
      </w:r>
      <w:r w:rsidRPr="00F94FA9">
        <w:t>ulfame potassium affects the gut microbiome and bodyweight gain in CD-1 mice. PLOS One 2017</w:t>
      </w:r>
      <w:r w:rsidR="00F3088C" w:rsidRPr="00F94FA9">
        <w:t>.</w:t>
      </w:r>
      <w:r w:rsidRPr="00F94FA9">
        <w:t xml:space="preserve"> </w:t>
      </w:r>
      <w:hyperlink r:id="rId11" w:history="1">
        <w:r w:rsidRPr="00F94FA9">
          <w:rPr>
            <w:rStyle w:val="Hyperlink"/>
            <w:color w:val="auto"/>
          </w:rPr>
          <w:t>https://doi.org/10.1371/journal.pone.0178426</w:t>
        </w:r>
      </w:hyperlink>
      <w:r w:rsidR="00615213">
        <w:rPr>
          <w:rStyle w:val="Hyperlink"/>
          <w:color w:val="auto"/>
        </w:rPr>
        <w:t>.</w:t>
      </w:r>
    </w:p>
    <w:p w:rsidR="00D8136A" w:rsidRPr="00F94FA9" w:rsidRDefault="00D8136A" w:rsidP="00CE7094">
      <w:pPr>
        <w:pStyle w:val="ListParagraph"/>
        <w:spacing w:before="240"/>
        <w:ind w:left="0"/>
      </w:pPr>
    </w:p>
    <w:p w:rsidR="00D8136A" w:rsidRDefault="00D8136A" w:rsidP="00CE7094">
      <w:pPr>
        <w:pStyle w:val="ListParagraph"/>
        <w:spacing w:before="240"/>
        <w:ind w:left="0"/>
      </w:pPr>
      <w:r w:rsidRPr="00F94FA9">
        <w:t xml:space="preserve">Bian X, Chi L, Gao B, Tu P, Ru H, Lu K. Gut microbiome response to sucralose and its potential role in inducing liver inflammation in mice. Frontiers in Physiology 2017 </w:t>
      </w:r>
      <w:r w:rsidRPr="00F94FA9">
        <w:rPr>
          <w:b/>
        </w:rPr>
        <w:t>8</w:t>
      </w:r>
      <w:r w:rsidRPr="00F94FA9">
        <w:t>: 478 – 490.</w:t>
      </w:r>
    </w:p>
    <w:p w:rsidR="00D770B4" w:rsidRDefault="00D770B4" w:rsidP="00CE7094">
      <w:pPr>
        <w:pStyle w:val="ListParagraph"/>
        <w:spacing w:before="240"/>
        <w:ind w:left="0"/>
      </w:pPr>
    </w:p>
    <w:p w:rsidR="00D770B4" w:rsidRPr="003935E0" w:rsidRDefault="00D770B4" w:rsidP="00CE7094">
      <w:pPr>
        <w:pStyle w:val="ListParagraph"/>
        <w:spacing w:before="240"/>
        <w:ind w:left="0"/>
      </w:pPr>
      <w:r>
        <w:t>Blakeley-</w:t>
      </w:r>
      <w:r w:rsidR="003935E0">
        <w:t xml:space="preserve">Ruiz JA, Erickson AR, Cantarel BL, Xiong W, Adams R, Jansson JK, Fraser CM, Hettich RL. Metaproteomics reveals persistant and phylum-redundant metabolic functional stability in adult gut microbiomes of Crohn’s remission patients despite temporal variations in microbial taxa, genomes, and proteomes. Microbiome 2019 </w:t>
      </w:r>
      <w:r w:rsidR="003935E0">
        <w:rPr>
          <w:b/>
          <w:bCs/>
        </w:rPr>
        <w:t>7</w:t>
      </w:r>
      <w:r w:rsidR="003935E0">
        <w:t xml:space="preserve">: 18 </w:t>
      </w:r>
      <w:r w:rsidR="00615213">
        <w:t>–</w:t>
      </w:r>
      <w:r w:rsidR="003935E0">
        <w:t xml:space="preserve"> </w:t>
      </w:r>
      <w:r w:rsidR="00510228">
        <w:t>32</w:t>
      </w:r>
      <w:r w:rsidR="00615213">
        <w:t>.</w:t>
      </w:r>
    </w:p>
    <w:p w:rsidR="00F531BB" w:rsidRDefault="00F531BB" w:rsidP="00CE7094">
      <w:pPr>
        <w:pStyle w:val="ListParagraph"/>
        <w:spacing w:before="240"/>
        <w:ind w:left="0"/>
      </w:pPr>
    </w:p>
    <w:p w:rsidR="00F531BB" w:rsidRPr="00F531BB" w:rsidRDefault="00F531BB" w:rsidP="00CE7094">
      <w:pPr>
        <w:pStyle w:val="ListParagraph"/>
        <w:spacing w:before="240"/>
        <w:ind w:left="0"/>
      </w:pPr>
      <w:r>
        <w:t xml:space="preserve">Botschuijver S, Roeselers G, Levin E, Jonkers DM, Welting OHeinsbroek SEM, de Weerd HH, Boekhout T, Fornal M,  Masclee AA, Schuren FHJ, de Jonge WJ, Sebpen J, van den Wjingaad RM. Intestinal fungal dysbiosis is associated with visceral hypersensitivity in patients with irritable bowel syndrome and rats. Gastroenterology  2017 </w:t>
      </w:r>
      <w:r>
        <w:rPr>
          <w:b/>
          <w:bCs/>
        </w:rPr>
        <w:t>153</w:t>
      </w:r>
      <w:r>
        <w:t xml:space="preserve">(4): 1026 </w:t>
      </w:r>
      <w:r w:rsidR="00615213">
        <w:t>–</w:t>
      </w:r>
      <w:r>
        <w:t xml:space="preserve"> 1039</w:t>
      </w:r>
      <w:r w:rsidR="00615213">
        <w:t>.</w:t>
      </w:r>
    </w:p>
    <w:p w:rsidR="00D8136A" w:rsidRPr="00F94FA9" w:rsidRDefault="00D8136A" w:rsidP="00CE7094">
      <w:pPr>
        <w:pStyle w:val="ListParagraph"/>
        <w:spacing w:before="240"/>
        <w:ind w:left="0"/>
      </w:pPr>
    </w:p>
    <w:p w:rsidR="00D8136A" w:rsidRPr="00F94FA9" w:rsidRDefault="00D8136A" w:rsidP="005035D0">
      <w:pPr>
        <w:pStyle w:val="ListParagraph"/>
        <w:spacing w:before="240"/>
        <w:ind w:left="0"/>
      </w:pPr>
      <w:bookmarkStart w:id="8" w:name="_Hlk40108092"/>
      <w:r w:rsidRPr="00F94FA9">
        <w:t>Breton J, Daniel C, Dewulf J, Pothion S, Froux N, Sauty M, Thomas P, Pot B, Folign</w:t>
      </w:r>
      <w:r w:rsidRPr="00F94FA9">
        <w:rPr>
          <w:rFonts w:cs="Arial"/>
        </w:rPr>
        <w:t>é</w:t>
      </w:r>
      <w:r w:rsidRPr="00F94FA9">
        <w:t xml:space="preserve"> B. Gut microbiota limits heavy metal burden caused by chronic oral exposure. Toxicology Letters 2013 </w:t>
      </w:r>
      <w:r w:rsidRPr="00F94FA9">
        <w:rPr>
          <w:b/>
        </w:rPr>
        <w:t>222</w:t>
      </w:r>
      <w:r w:rsidRPr="00F94FA9">
        <w:t>: 132 – 138.</w:t>
      </w:r>
    </w:p>
    <w:bookmarkEnd w:id="8"/>
    <w:p w:rsidR="00D8136A" w:rsidRPr="00F94FA9" w:rsidRDefault="00D8136A" w:rsidP="005035D0">
      <w:pPr>
        <w:pStyle w:val="ListParagraph"/>
        <w:spacing w:before="240"/>
        <w:ind w:left="0"/>
      </w:pPr>
    </w:p>
    <w:p w:rsidR="00D8136A" w:rsidRDefault="00D8136A" w:rsidP="005035D0">
      <w:pPr>
        <w:pStyle w:val="ListParagraph"/>
        <w:spacing w:before="240"/>
        <w:ind w:left="0"/>
      </w:pPr>
      <w:r w:rsidRPr="00F94FA9">
        <w:t>Breton J, Massart S, Vandanne P, De Brandt E, Pot B, Folign</w:t>
      </w:r>
      <w:r w:rsidRPr="00F94FA9">
        <w:rPr>
          <w:rFonts w:cs="Arial"/>
        </w:rPr>
        <w:t>é</w:t>
      </w:r>
      <w:r w:rsidRPr="00F94FA9">
        <w:t xml:space="preserve"> B. Ecotoxicology inside the gut: impact of heavy metals on the mouse microbiome. Pharmacology and Toxicology 2013 </w:t>
      </w:r>
      <w:r w:rsidRPr="00F94FA9">
        <w:rPr>
          <w:b/>
        </w:rPr>
        <w:t>14</w:t>
      </w:r>
      <w:r w:rsidRPr="00F94FA9">
        <w:t>: 64 – 74.</w:t>
      </w:r>
    </w:p>
    <w:p w:rsidR="00E91D71" w:rsidRDefault="00E91D71" w:rsidP="005035D0">
      <w:pPr>
        <w:pStyle w:val="ListParagraph"/>
        <w:spacing w:before="240"/>
        <w:ind w:left="0"/>
      </w:pPr>
    </w:p>
    <w:p w:rsidR="00D8136A" w:rsidRPr="00F94FA9" w:rsidRDefault="00D8136A" w:rsidP="005035D0">
      <w:pPr>
        <w:pStyle w:val="ListParagraph"/>
        <w:spacing w:before="240"/>
        <w:ind w:left="0"/>
      </w:pPr>
    </w:p>
    <w:p w:rsidR="00D8136A" w:rsidRDefault="00D8136A" w:rsidP="00DD19CC">
      <w:pPr>
        <w:pStyle w:val="ListParagraph"/>
        <w:spacing w:before="240"/>
        <w:ind w:left="0"/>
        <w:rPr>
          <w:rFonts w:cs="Arial"/>
        </w:rPr>
      </w:pPr>
      <w:r w:rsidRPr="00F94FA9">
        <w:rPr>
          <w:rFonts w:cs="Arial"/>
        </w:rPr>
        <w:t xml:space="preserve">Bull-Otterson L, Feng W, Kirpich I, Wang Y, Qin X, Liu Y, Gobejishvili L, Joshi-barve S, Ayvaz T, Petrosino J, Kong M, Barker D, McClain C, Barve S. Metagenomic analyses of alcohol induced pathogenic alterations in the intestinal microbiome and the effect of </w:t>
      </w:r>
      <w:r w:rsidRPr="00F94FA9">
        <w:rPr>
          <w:rFonts w:cs="Arial"/>
          <w:i/>
        </w:rPr>
        <w:t>Lactobacillus rhamnosus GG</w:t>
      </w:r>
      <w:r w:rsidRPr="00F94FA9">
        <w:rPr>
          <w:rFonts w:cs="Arial"/>
        </w:rPr>
        <w:t xml:space="preserve"> treatment. PLOS One 2013 </w:t>
      </w:r>
      <w:r w:rsidRPr="00F94FA9">
        <w:rPr>
          <w:rFonts w:cs="Arial"/>
          <w:b/>
        </w:rPr>
        <w:t>8</w:t>
      </w:r>
      <w:r w:rsidRPr="00F94FA9">
        <w:rPr>
          <w:rFonts w:cs="Arial"/>
        </w:rPr>
        <w:t>(1) e53028.</w:t>
      </w:r>
    </w:p>
    <w:p w:rsidR="0033647C" w:rsidRDefault="0033647C" w:rsidP="00DD19CC">
      <w:pPr>
        <w:pStyle w:val="ListParagraph"/>
        <w:spacing w:before="240"/>
        <w:ind w:left="0"/>
        <w:rPr>
          <w:rFonts w:cs="Arial"/>
        </w:rPr>
      </w:pPr>
    </w:p>
    <w:p w:rsidR="0033647C" w:rsidRDefault="00851C2D" w:rsidP="00DD19CC">
      <w:pPr>
        <w:pStyle w:val="ListParagraph"/>
        <w:spacing w:before="240"/>
        <w:ind w:left="0"/>
        <w:rPr>
          <w:rFonts w:cs="Arial"/>
        </w:rPr>
      </w:pPr>
      <w:r>
        <w:rPr>
          <w:rFonts w:cs="Arial"/>
        </w:rPr>
        <w:t xml:space="preserve">Calatayud M, Xiong C, Du Laing G, Raber G, Francesconi K, van de Wiele T. Salivary and gut microbiomes play a significant role in </w:t>
      </w:r>
      <w:r>
        <w:rPr>
          <w:rFonts w:cs="Arial"/>
          <w:i/>
        </w:rPr>
        <w:t>in vitro</w:t>
      </w:r>
      <w:r>
        <w:rPr>
          <w:rFonts w:cs="Arial"/>
        </w:rPr>
        <w:t xml:space="preserve"> oral bioaccessibility, biotransformation, and intestinal absorption of arsenic from food. Environmental Science and Technology 2018 </w:t>
      </w:r>
      <w:r>
        <w:rPr>
          <w:rFonts w:cs="Arial"/>
          <w:b/>
        </w:rPr>
        <w:t>52</w:t>
      </w:r>
      <w:r>
        <w:rPr>
          <w:rFonts w:cs="Arial"/>
        </w:rPr>
        <w:t xml:space="preserve"> 14422 – 14435.</w:t>
      </w:r>
    </w:p>
    <w:p w:rsidR="007766FF" w:rsidRDefault="007766FF" w:rsidP="00DD19CC">
      <w:pPr>
        <w:pStyle w:val="ListParagraph"/>
        <w:spacing w:before="240"/>
        <w:ind w:left="0"/>
        <w:rPr>
          <w:rFonts w:cs="Arial"/>
        </w:rPr>
      </w:pPr>
    </w:p>
    <w:p w:rsidR="007766FF" w:rsidRDefault="007766FF" w:rsidP="00DD19CC">
      <w:pPr>
        <w:pStyle w:val="ListParagraph"/>
        <w:spacing w:before="240"/>
        <w:ind w:left="0"/>
        <w:rPr>
          <w:rFonts w:cs="Arial"/>
        </w:rPr>
      </w:pPr>
      <w:r>
        <w:rPr>
          <w:rFonts w:cs="Arial"/>
        </w:rPr>
        <w:t xml:space="preserve">Carding SR, Davis N, Hoyles L. Review article: the human intestinal virome in health and disease. Alimentary Pharmacology and Therapeutics 2017 </w:t>
      </w:r>
      <w:r>
        <w:rPr>
          <w:rFonts w:cs="Arial"/>
          <w:b/>
          <w:bCs/>
        </w:rPr>
        <w:t>46</w:t>
      </w:r>
      <w:r>
        <w:rPr>
          <w:rFonts w:cs="Arial"/>
        </w:rPr>
        <w:t>: 800 – 815.</w:t>
      </w:r>
    </w:p>
    <w:p w:rsidR="00785433" w:rsidRDefault="00785433" w:rsidP="00DD19CC">
      <w:pPr>
        <w:pStyle w:val="ListParagraph"/>
        <w:spacing w:before="240"/>
        <w:ind w:left="0"/>
        <w:rPr>
          <w:rFonts w:cs="Arial"/>
        </w:rPr>
      </w:pPr>
    </w:p>
    <w:p w:rsidR="00785433" w:rsidRPr="007766FF" w:rsidRDefault="00785433" w:rsidP="00DD19CC">
      <w:pPr>
        <w:pStyle w:val="ListParagraph"/>
        <w:spacing w:before="240"/>
        <w:ind w:left="0"/>
        <w:rPr>
          <w:rFonts w:cs="Arial"/>
        </w:rPr>
      </w:pPr>
      <w:r>
        <w:t>Camilleri M, Madsen</w:t>
      </w:r>
      <w:r w:rsidRPr="00785433">
        <w:t xml:space="preserve"> </w:t>
      </w:r>
      <w:r>
        <w:t xml:space="preserve">K, Spiller R, Van Meervelds, BG Verne GN. Intestinal barrier function in health and gastrointestinal disease. Neurogastroenterology and Motility. 2012  </w:t>
      </w:r>
      <w:r w:rsidRPr="00272F8A">
        <w:rPr>
          <w:b/>
          <w:bCs/>
        </w:rPr>
        <w:t>24</w:t>
      </w:r>
      <w:r>
        <w:t xml:space="preserve">(6): 503–512. doi:10.1111/j.1365-2982.2012.01921.x    </w:t>
      </w:r>
    </w:p>
    <w:p w:rsidR="00D8136A" w:rsidRPr="00F94FA9" w:rsidRDefault="00D8136A" w:rsidP="00DD19CC">
      <w:pPr>
        <w:pStyle w:val="ListParagraph"/>
        <w:spacing w:before="240"/>
        <w:ind w:left="0"/>
        <w:rPr>
          <w:rFonts w:cs="Arial"/>
        </w:rPr>
      </w:pPr>
    </w:p>
    <w:p w:rsidR="00D8136A" w:rsidRDefault="00D8136A" w:rsidP="009149E2">
      <w:pPr>
        <w:pStyle w:val="ListParagraph"/>
        <w:spacing w:before="240"/>
        <w:ind w:left="0"/>
      </w:pPr>
      <w:r w:rsidRPr="00F94FA9">
        <w:t>Catt</w:t>
      </w:r>
      <w:r w:rsidRPr="00F94FA9">
        <w:rPr>
          <w:rFonts w:cs="Arial"/>
        </w:rPr>
        <w:t>ò</w:t>
      </w:r>
      <w:r w:rsidRPr="00F94FA9">
        <w:t xml:space="preserve"> C, Garuglieri E, Borrusu L, Erba D, Casiraghi MC, Cappitelli F, Villa F, Zecchin S, Zanchi R. Impacts of sirtary silver nanoparticles and probiotic administration on the microbiota of an </w:t>
      </w:r>
      <w:r w:rsidRPr="00F94FA9">
        <w:rPr>
          <w:i/>
        </w:rPr>
        <w:t>in-vitro</w:t>
      </w:r>
      <w:r w:rsidRPr="00F94FA9">
        <w:t xml:space="preserve"> gut model. Environmental Pollution 2019 </w:t>
      </w:r>
      <w:r w:rsidRPr="00F94FA9">
        <w:rPr>
          <w:b/>
        </w:rPr>
        <w:t>245</w:t>
      </w:r>
      <w:r w:rsidRPr="00F94FA9">
        <w:t>: 754 – 763</w:t>
      </w:r>
      <w:r w:rsidR="00F3088C" w:rsidRPr="00F94FA9">
        <w:t>.</w:t>
      </w:r>
    </w:p>
    <w:p w:rsidR="00F17CC9" w:rsidRDefault="00F17CC9" w:rsidP="009149E2">
      <w:pPr>
        <w:pStyle w:val="ListParagraph"/>
        <w:spacing w:before="240"/>
        <w:ind w:left="0"/>
      </w:pPr>
    </w:p>
    <w:p w:rsidR="00F17CC9" w:rsidRPr="00390AEE" w:rsidRDefault="00DC63BA" w:rsidP="00FC165B">
      <w:pPr>
        <w:rPr>
          <w:rFonts w:eastAsia="Times New Roman" w:cs="Arial"/>
          <w:szCs w:val="24"/>
        </w:rPr>
      </w:pPr>
      <w:r w:rsidRPr="00390AEE">
        <w:rPr>
          <w:rFonts w:eastAsia="Times New Roman" w:cs="Arial"/>
          <w:szCs w:val="24"/>
        </w:rPr>
        <w:t xml:space="preserve">Chassaing B, Van de Wiele T, De Bodt J, Marzorati M, Gewirtz AT. Dietary emulsifiers directly alter human microbiota composition and gene expression ex vivo potentiating intestinal inflammation.  Gut. 2017 </w:t>
      </w:r>
      <w:r w:rsidRPr="00390AEE">
        <w:rPr>
          <w:rFonts w:eastAsia="Times New Roman" w:cs="Arial"/>
          <w:b/>
          <w:bCs/>
          <w:szCs w:val="24"/>
        </w:rPr>
        <w:t>66</w:t>
      </w:r>
      <w:r w:rsidRPr="00390AEE">
        <w:rPr>
          <w:rFonts w:eastAsia="Times New Roman" w:cs="Arial"/>
          <w:szCs w:val="24"/>
        </w:rPr>
        <w:t>(8):1414-1427. doi: 10.1136/gutjnl-2016-313099. Epub 2017 Mar 21.PMID: 28325746</w:t>
      </w:r>
    </w:p>
    <w:p w:rsidR="008800DB" w:rsidRDefault="008800DB" w:rsidP="008800DB">
      <w:pPr>
        <w:rPr>
          <w:rFonts w:eastAsia="Times New Roman" w:cs="Arial"/>
          <w:szCs w:val="24"/>
        </w:rPr>
      </w:pPr>
      <w:r w:rsidRPr="00743E22">
        <w:rPr>
          <w:rFonts w:eastAsia="Times New Roman" w:cs="Arial"/>
          <w:color w:val="212121"/>
          <w:szCs w:val="24"/>
        </w:rPr>
        <w:t xml:space="preserve">Chassaing B, Koren O, Goodrich JK, Poole AC, Srinivasan S, Ley RE, Gewirtz AT. </w:t>
      </w:r>
      <w:r w:rsidRPr="00390AEE">
        <w:rPr>
          <w:rFonts w:eastAsia="Times New Roman" w:cs="Arial"/>
          <w:color w:val="201F1E"/>
          <w:szCs w:val="24"/>
        </w:rPr>
        <w:t>Dietary emulsifiers impact the mouse gut microbiota promoting colitis and metabolic syndrome. </w:t>
      </w:r>
      <w:r w:rsidRPr="00272F8A">
        <w:rPr>
          <w:rFonts w:eastAsia="Times New Roman" w:cs="Arial"/>
          <w:color w:val="201F1E"/>
          <w:szCs w:val="24"/>
        </w:rPr>
        <w:t xml:space="preserve"> </w:t>
      </w:r>
      <w:r>
        <w:rPr>
          <w:rFonts w:eastAsia="Times New Roman" w:cs="Arial"/>
          <w:color w:val="201F1E"/>
          <w:szCs w:val="24"/>
        </w:rPr>
        <w:t xml:space="preserve"> </w:t>
      </w:r>
      <w:r w:rsidRPr="00390AEE">
        <w:rPr>
          <w:rFonts w:eastAsia="Times New Roman" w:cs="Arial"/>
          <w:szCs w:val="24"/>
        </w:rPr>
        <w:t xml:space="preserve">Nature. 2015 </w:t>
      </w:r>
      <w:r w:rsidRPr="00390AEE">
        <w:rPr>
          <w:rFonts w:eastAsia="Times New Roman" w:cs="Arial"/>
          <w:b/>
          <w:bCs/>
          <w:szCs w:val="24"/>
        </w:rPr>
        <w:t>19</w:t>
      </w:r>
      <w:r w:rsidRPr="00390AEE">
        <w:rPr>
          <w:rFonts w:eastAsia="Times New Roman" w:cs="Arial"/>
          <w:szCs w:val="24"/>
        </w:rPr>
        <w:t>(7541):92-6. doi: 10.1038/nature14232. Epub 2015 Feb 25.PMID: 25731162</w:t>
      </w:r>
    </w:p>
    <w:p w:rsidR="008800DB" w:rsidRPr="00272F8A" w:rsidRDefault="008800DB" w:rsidP="008800DB">
      <w:pPr>
        <w:rPr>
          <w:rFonts w:eastAsia="Times New Roman" w:cs="Arial"/>
          <w:color w:val="201F1E"/>
          <w:szCs w:val="24"/>
        </w:rPr>
      </w:pPr>
      <w:r w:rsidRPr="006131A2">
        <w:rPr>
          <w:rFonts w:eastAsia="Times New Roman" w:cs="Arial"/>
          <w:color w:val="212121"/>
          <w:szCs w:val="24"/>
        </w:rPr>
        <w:t>Chassaing B, Koren O, Goodrich JK, Poole AC, Srinivasan S, Ley RE, Gewirtz AT.</w:t>
      </w:r>
      <w:r>
        <w:rPr>
          <w:rFonts w:eastAsia="Times New Roman" w:cs="Arial"/>
          <w:color w:val="212121"/>
          <w:szCs w:val="24"/>
        </w:rPr>
        <w:t xml:space="preserve"> </w:t>
      </w:r>
      <w:r w:rsidRPr="00390AEE">
        <w:rPr>
          <w:rFonts w:eastAsia="Times New Roman" w:cs="Arial"/>
          <w:color w:val="201F1E"/>
          <w:szCs w:val="24"/>
        </w:rPr>
        <w:t>Corrigendum: Dietary emulsifiers impact the mouse gut microbiota promoting colitis</w:t>
      </w:r>
      <w:r>
        <w:rPr>
          <w:rFonts w:eastAsia="Times New Roman" w:cs="Arial"/>
          <w:color w:val="201F1E"/>
          <w:szCs w:val="24"/>
        </w:rPr>
        <w:t xml:space="preserve"> </w:t>
      </w:r>
      <w:r w:rsidRPr="00390AEE">
        <w:rPr>
          <w:rFonts w:eastAsia="Times New Roman" w:cs="Arial"/>
          <w:color w:val="201F1E"/>
          <w:szCs w:val="24"/>
        </w:rPr>
        <w:t>and metabolic syndrome. </w:t>
      </w:r>
      <w:r w:rsidRPr="00FC165B">
        <w:rPr>
          <w:rFonts w:eastAsia="Times New Roman" w:cs="Arial"/>
          <w:color w:val="201F1E"/>
          <w:szCs w:val="24"/>
        </w:rPr>
        <w:t xml:space="preserve"> </w:t>
      </w:r>
      <w:r w:rsidRPr="00390AEE">
        <w:rPr>
          <w:rFonts w:eastAsia="Times New Roman" w:cs="Arial"/>
          <w:szCs w:val="24"/>
        </w:rPr>
        <w:t>Nature. 2016 Aug 11;536(7615):238. doi: 10.1038/nature18000. Epub 2016 May 4.PMID: 27144359</w:t>
      </w:r>
      <w:r>
        <w:rPr>
          <w:rFonts w:eastAsia="Times New Roman" w:cs="Arial"/>
          <w:szCs w:val="24"/>
        </w:rPr>
        <w:t xml:space="preserve"> </w:t>
      </w:r>
      <w:r w:rsidRPr="00390AEE">
        <w:rPr>
          <w:rFonts w:eastAsia="Times New Roman" w:cs="Arial"/>
          <w:szCs w:val="24"/>
        </w:rPr>
        <w:t>No abstract available</w:t>
      </w:r>
    </w:p>
    <w:p w:rsidR="00D8136A" w:rsidRPr="00F94FA9" w:rsidRDefault="00D8136A" w:rsidP="009149E2">
      <w:pPr>
        <w:pStyle w:val="ListParagraph"/>
        <w:spacing w:before="240"/>
        <w:ind w:left="0"/>
      </w:pPr>
    </w:p>
    <w:p w:rsidR="00D8136A" w:rsidRPr="00F94FA9" w:rsidRDefault="00D8136A" w:rsidP="00812453">
      <w:pPr>
        <w:pStyle w:val="ListParagraph"/>
        <w:spacing w:before="240"/>
        <w:ind w:left="0"/>
      </w:pPr>
      <w:r w:rsidRPr="00F94FA9">
        <w:t xml:space="preserve">Chi L, Bian X, Gao B, Ru H, Tu P, Lu K. Sex-specific effects of arsenic exposure on the trajectory and function of the gut microbiome. Chemical research in Toxicology 2016 </w:t>
      </w:r>
      <w:r w:rsidRPr="00F94FA9">
        <w:rPr>
          <w:b/>
        </w:rPr>
        <w:t>29</w:t>
      </w:r>
      <w:r w:rsidRPr="00F94FA9">
        <w:t>(6): 949 – 951.</w:t>
      </w:r>
    </w:p>
    <w:p w:rsidR="00D8136A" w:rsidRPr="00F94FA9" w:rsidRDefault="00D8136A" w:rsidP="00812453">
      <w:r w:rsidRPr="00F94FA9">
        <w:t xml:space="preserve">Chi L, Gao B, Bian X, Tu P, Ru H, Lu K. Manganese-induced sex-specific gut microbiome perturbations in C57BL/6 mice. Toxicology and Applied Pharmacology 2017 </w:t>
      </w:r>
      <w:r w:rsidRPr="00F94FA9">
        <w:rPr>
          <w:b/>
        </w:rPr>
        <w:t>331</w:t>
      </w:r>
      <w:r w:rsidRPr="00F94FA9">
        <w:t>: 142 – 153.</w:t>
      </w:r>
    </w:p>
    <w:p w:rsidR="00D8136A" w:rsidRPr="00F94FA9" w:rsidRDefault="00D8136A" w:rsidP="00DD19CC">
      <w:pPr>
        <w:pStyle w:val="ListParagraph"/>
        <w:spacing w:before="240"/>
        <w:ind w:left="0"/>
      </w:pPr>
      <w:r w:rsidRPr="00F94FA9">
        <w:t xml:space="preserve">Chi L, Xue J, Tu P, Lai Y, Ru H, Lu K. Gut microbiome disruption altered the biotransformation and liver toxicity of arsenic in mice. Archives of Toxicology 2019 </w:t>
      </w:r>
      <w:r w:rsidRPr="00F94FA9">
        <w:rPr>
          <w:b/>
        </w:rPr>
        <w:t xml:space="preserve"> 93</w:t>
      </w:r>
      <w:r w:rsidRPr="00F94FA9">
        <w:t>: 25 – 35.</w:t>
      </w:r>
    </w:p>
    <w:p w:rsidR="00B45125" w:rsidRPr="00F94FA9" w:rsidRDefault="00B45125" w:rsidP="00DD19CC">
      <w:pPr>
        <w:pStyle w:val="ListParagraph"/>
        <w:spacing w:before="240"/>
        <w:ind w:left="0"/>
      </w:pPr>
    </w:p>
    <w:p w:rsidR="00CE0466" w:rsidRPr="00F94FA9" w:rsidRDefault="00CE0466" w:rsidP="00DD19CC">
      <w:pPr>
        <w:pStyle w:val="ListParagraph"/>
        <w:spacing w:before="240"/>
        <w:ind w:left="0"/>
      </w:pPr>
      <w:r w:rsidRPr="00F94FA9">
        <w:t>Cho I, Yamanishi S, Cox L, Meth</w:t>
      </w:r>
      <w:r w:rsidRPr="00F94FA9">
        <w:rPr>
          <w:rFonts w:cs="Arial"/>
        </w:rPr>
        <w:t>é</w:t>
      </w:r>
      <w:r w:rsidRPr="00F94FA9">
        <w:t xml:space="preserve">, BA, Zavadil J, Li K, Gao Z, Mahana D, Raju K, Teitier I, Li H, Alekseyenko AV, Blaser MJ. Antibiotics in early life alter the murine colonic microbiome and adiposity. Nature 2012 </w:t>
      </w:r>
      <w:r w:rsidRPr="00F94FA9">
        <w:rPr>
          <w:b/>
        </w:rPr>
        <w:t>488</w:t>
      </w:r>
      <w:r w:rsidRPr="00F94FA9">
        <w:t xml:space="preserve">(7413): 621 </w:t>
      </w:r>
      <w:r w:rsidR="00615213">
        <w:t>–</w:t>
      </w:r>
      <w:r w:rsidRPr="00F94FA9">
        <w:t xml:space="preserve"> 626</w:t>
      </w:r>
      <w:r w:rsidR="00615213">
        <w:t>.</w:t>
      </w:r>
    </w:p>
    <w:p w:rsidR="00B45125" w:rsidRPr="00F94FA9" w:rsidRDefault="00B45125" w:rsidP="00DC0CF2">
      <w:pPr>
        <w:rPr>
          <w:rStyle w:val="SubtleReference"/>
          <w:smallCaps w:val="0"/>
          <w:color w:val="auto"/>
        </w:rPr>
      </w:pPr>
      <w:r w:rsidRPr="00F94FA9">
        <w:rPr>
          <w:rStyle w:val="SubtleReference"/>
          <w:smallCaps w:val="0"/>
          <w:color w:val="auto"/>
        </w:rPr>
        <w:t>Claus SP, Guillou</w:t>
      </w:r>
      <w:r w:rsidR="00B46705">
        <w:rPr>
          <w:rStyle w:val="SubtleReference"/>
          <w:smallCaps w:val="0"/>
          <w:color w:val="auto"/>
        </w:rPr>
        <w:t xml:space="preserve"> </w:t>
      </w:r>
      <w:r w:rsidRPr="00F94FA9">
        <w:rPr>
          <w:rStyle w:val="SubtleReference"/>
          <w:smallCaps w:val="0"/>
          <w:color w:val="auto"/>
        </w:rPr>
        <w:t>H, Ellero-Simatos S. The gut microbiota: a major player in the toxicity of environmental pollutants? Biofilms and Microbiomes 2016</w:t>
      </w:r>
      <w:r w:rsidRPr="00F94FA9">
        <w:rPr>
          <w:rStyle w:val="SubtleReference"/>
          <w:b/>
          <w:smallCaps w:val="0"/>
          <w:color w:val="auto"/>
        </w:rPr>
        <w:t>2</w:t>
      </w:r>
      <w:r w:rsidRPr="00F94FA9">
        <w:rPr>
          <w:rStyle w:val="SubtleReference"/>
          <w:smallCaps w:val="0"/>
          <w:color w:val="auto"/>
        </w:rPr>
        <w:t xml:space="preserve"> 16003; doi: 10.1038/npjbiogilms.2016.3.</w:t>
      </w:r>
    </w:p>
    <w:p w:rsidR="00277B5F" w:rsidRDefault="002727A2" w:rsidP="00D8136A">
      <w:r w:rsidRPr="00F94FA9">
        <w:t xml:space="preserve">Clayton TA, Baker D, Lindon JC, Everett JR, Nicholson JK. Pharmacometabonomic identification of a significant host-microbiome metabolic interaction affecting human drug metabolism. PNAS 2009 </w:t>
      </w:r>
      <w:r w:rsidRPr="00F94FA9">
        <w:rPr>
          <w:b/>
        </w:rPr>
        <w:t>106</w:t>
      </w:r>
      <w:r w:rsidRPr="00F94FA9">
        <w:t xml:space="preserve">(34):14728 </w:t>
      </w:r>
      <w:r w:rsidR="00277B5F">
        <w:t>–</w:t>
      </w:r>
      <w:r w:rsidRPr="00F94FA9">
        <w:t xml:space="preserve"> 14733</w:t>
      </w:r>
    </w:p>
    <w:p w:rsidR="00D8136A" w:rsidRPr="00F94FA9" w:rsidRDefault="00D8136A" w:rsidP="00D8136A">
      <w:r w:rsidRPr="00F94FA9">
        <w:t>Constante M, Fragoso G, Lupien-Meilleur J, Calv</w:t>
      </w:r>
      <w:r w:rsidRPr="00F94FA9">
        <w:rPr>
          <w:rFonts w:cs="Arial"/>
        </w:rPr>
        <w:t>é</w:t>
      </w:r>
      <w:r w:rsidRPr="00F94FA9">
        <w:t xml:space="preserve">A, Santos MM. Iron supplements modulate colon microbiota composition and potentiate the protective effects of probiotics in dextran sodium sulfate-induced colitis. Inflammatory Bowel Diseases 2017 </w:t>
      </w:r>
      <w:r w:rsidRPr="00F94FA9">
        <w:rPr>
          <w:b/>
        </w:rPr>
        <w:t>24</w:t>
      </w:r>
      <w:r w:rsidRPr="00F94FA9">
        <w:t>: 758 – 766.</w:t>
      </w:r>
    </w:p>
    <w:p w:rsidR="001F7641" w:rsidRPr="00F94FA9" w:rsidRDefault="001F7641" w:rsidP="00D8136A">
      <w:r w:rsidRPr="00F94FA9">
        <w:t xml:space="preserve">Costantini L, Molinari R, Farinon B, </w:t>
      </w:r>
      <w:r w:rsidR="00836D2D">
        <w:t>M</w:t>
      </w:r>
      <w:r w:rsidRPr="00F94FA9">
        <w:t xml:space="preserve">erendino N. Impact of omega-3-fatty acids on the gut microbiota. International Journal of Molecular Sciences2017 </w:t>
      </w:r>
      <w:r w:rsidRPr="00F94FA9">
        <w:rPr>
          <w:b/>
        </w:rPr>
        <w:t>18</w:t>
      </w:r>
      <w:r w:rsidRPr="00F94FA9">
        <w:t>: 2645 – 2660.</w:t>
      </w:r>
    </w:p>
    <w:p w:rsidR="00B6378F" w:rsidRPr="00F94FA9" w:rsidRDefault="00B6378F" w:rsidP="00DC0CF2">
      <w:pPr>
        <w:spacing w:before="240"/>
      </w:pPr>
      <w:r w:rsidRPr="00F94FA9">
        <w:t>Curr</w:t>
      </w:r>
      <w:r w:rsidRPr="00F94FA9">
        <w:rPr>
          <w:rFonts w:cs="Arial"/>
        </w:rPr>
        <w:t>ò D. The role of gut microbiota in the modulation of drug action: a focus on some clinically significant issues</w:t>
      </w:r>
      <w:r w:rsidR="002B5678" w:rsidRPr="00F94FA9">
        <w:rPr>
          <w:rFonts w:cs="Arial"/>
        </w:rPr>
        <w:t xml:space="preserve">. Expert Review of Clinical Pharmacology 2018 </w:t>
      </w:r>
      <w:r w:rsidR="002B5678" w:rsidRPr="00F94FA9">
        <w:rPr>
          <w:rFonts w:cs="Arial"/>
          <w:b/>
        </w:rPr>
        <w:t>11</w:t>
      </w:r>
      <w:r w:rsidR="002B5678" w:rsidRPr="00F94FA9">
        <w:rPr>
          <w:rFonts w:cs="Arial"/>
        </w:rPr>
        <w:t xml:space="preserve">(2): 171 </w:t>
      </w:r>
      <w:r w:rsidR="00615213">
        <w:rPr>
          <w:rFonts w:cs="Arial"/>
        </w:rPr>
        <w:t>–</w:t>
      </w:r>
      <w:r w:rsidR="002B5678" w:rsidRPr="00F94FA9">
        <w:rPr>
          <w:rFonts w:cs="Arial"/>
        </w:rPr>
        <w:t xml:space="preserve"> 183</w:t>
      </w:r>
      <w:r w:rsidR="00615213">
        <w:rPr>
          <w:rFonts w:cs="Arial"/>
        </w:rPr>
        <w:t>.</w:t>
      </w:r>
    </w:p>
    <w:p w:rsidR="00C978EC" w:rsidRPr="00F94FA9" w:rsidRDefault="00C978EC" w:rsidP="00D8136A">
      <w:r w:rsidRPr="00F94FA9">
        <w:t>David LA, Maurice CP, Carmody RN, Gooten</w:t>
      </w:r>
      <w:r w:rsidR="00DD1628" w:rsidRPr="00F94FA9">
        <w:t xml:space="preserve">berg DB, Button JE, Wolfa BE, Ling AV, Devlin AS, Varma Y, Fischbach MA, Buddinger SB, Dutton RJ, Turnbaugh PJ. Diet rapidly and reproducibly alters the human gut microbiome. Nature 2014 </w:t>
      </w:r>
      <w:r w:rsidR="00DD1628" w:rsidRPr="00F94FA9">
        <w:rPr>
          <w:b/>
        </w:rPr>
        <w:t>505</w:t>
      </w:r>
      <w:r w:rsidR="00DD1628" w:rsidRPr="00F94FA9">
        <w:t>(7484): 559 – 563.</w:t>
      </w:r>
    </w:p>
    <w:p w:rsidR="00B45125" w:rsidRPr="00F94FA9" w:rsidRDefault="00B45125" w:rsidP="00DC0CF2">
      <w:pPr>
        <w:rPr>
          <w:rStyle w:val="SubtleReference"/>
          <w:smallCaps w:val="0"/>
          <w:color w:val="auto"/>
        </w:rPr>
      </w:pPr>
      <w:r w:rsidRPr="00F94FA9">
        <w:rPr>
          <w:rStyle w:val="SubtleReference"/>
          <w:smallCaps w:val="0"/>
          <w:color w:val="auto"/>
        </w:rPr>
        <w:t>Defois C, Ra</w:t>
      </w:r>
      <w:r w:rsidR="00010BC9" w:rsidRPr="00F94FA9">
        <w:rPr>
          <w:rStyle w:val="SubtleReference"/>
          <w:smallCaps w:val="0"/>
          <w:color w:val="auto"/>
        </w:rPr>
        <w:t>t</w:t>
      </w:r>
      <w:r w:rsidRPr="00F94FA9">
        <w:rPr>
          <w:rStyle w:val="SubtleReference"/>
          <w:smallCaps w:val="0"/>
          <w:color w:val="auto"/>
        </w:rPr>
        <w:t xml:space="preserve">el J, Denis S, Batut B, Beugnot R, Pevretaillade E, Engel E, Peyret P. Environmental pollutant benzo[a]pyrene impacts the volatile metabolome and transcriptome of the human gut microbiota. Frontiers of Microbiology 2017 </w:t>
      </w:r>
      <w:r w:rsidRPr="00F94FA9">
        <w:rPr>
          <w:rStyle w:val="SubtleReference"/>
          <w:b/>
          <w:smallCaps w:val="0"/>
          <w:color w:val="auto"/>
        </w:rPr>
        <w:t>8</w:t>
      </w:r>
      <w:r w:rsidRPr="00F94FA9">
        <w:rPr>
          <w:rStyle w:val="SubtleReference"/>
          <w:smallCaps w:val="0"/>
          <w:color w:val="auto"/>
        </w:rPr>
        <w:t>: 1563 – 1582.</w:t>
      </w:r>
    </w:p>
    <w:p w:rsidR="00B45125" w:rsidRDefault="00010BC9" w:rsidP="00D8136A">
      <w:r w:rsidRPr="00F94FA9">
        <w:t xml:space="preserve">Defois C, </w:t>
      </w:r>
      <w:r w:rsidR="00495601">
        <w:t>R</w:t>
      </w:r>
      <w:r w:rsidRPr="00F94FA9">
        <w:t xml:space="preserve">atel J, Gerrait G, Denis S, LeGoff O, Talvas J, Mosoni P, Engel E, Peyret P. Food chemicals disrupt human gut microbiota activity and impact intestinal homeostasis as revealed by </w:t>
      </w:r>
      <w:r w:rsidRPr="00F94FA9">
        <w:rPr>
          <w:i/>
        </w:rPr>
        <w:t>in vitro</w:t>
      </w:r>
      <w:r w:rsidRPr="00F94FA9">
        <w:t xml:space="preserve"> systems. Nature Scientific Reports 2018 </w:t>
      </w:r>
      <w:r w:rsidRPr="00F94FA9">
        <w:rPr>
          <w:b/>
        </w:rPr>
        <w:t>8</w:t>
      </w:r>
      <w:r w:rsidRPr="00F94FA9">
        <w:t>:11006 doi: 10.1038/s41598-018-29376-9</w:t>
      </w:r>
      <w:r w:rsidR="00F604F6">
        <w:t>.</w:t>
      </w:r>
    </w:p>
    <w:p w:rsidR="00F604F6" w:rsidRDefault="00F604F6" w:rsidP="00F604F6">
      <w:pPr>
        <w:autoSpaceDE w:val="0"/>
        <w:autoSpaceDN w:val="0"/>
        <w:adjustRightInd w:val="0"/>
        <w:spacing w:after="0" w:line="240" w:lineRule="auto"/>
        <w:rPr>
          <w:rFonts w:cs="Arial"/>
          <w:bCs/>
          <w:szCs w:val="24"/>
        </w:rPr>
      </w:pPr>
      <w:r w:rsidRPr="00F604F6">
        <w:rPr>
          <w:rFonts w:cs="Arial"/>
          <w:bCs/>
          <w:color w:val="000000"/>
          <w:szCs w:val="24"/>
        </w:rPr>
        <w:t>de Gunzburg</w:t>
      </w:r>
      <w:r w:rsidR="004356CA" w:rsidRPr="004356CA">
        <w:rPr>
          <w:rFonts w:cs="Arial"/>
          <w:bCs/>
          <w:color w:val="000000"/>
          <w:szCs w:val="24"/>
        </w:rPr>
        <w:t xml:space="preserve"> </w:t>
      </w:r>
      <w:r w:rsidR="004356CA" w:rsidRPr="00F604F6">
        <w:rPr>
          <w:rFonts w:cs="Arial"/>
          <w:bCs/>
          <w:color w:val="000000"/>
          <w:szCs w:val="24"/>
        </w:rPr>
        <w:t>J</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Ghozlane</w:t>
      </w:r>
      <w:r w:rsidR="004356CA" w:rsidRPr="004356CA">
        <w:rPr>
          <w:rFonts w:cs="Arial"/>
          <w:bCs/>
          <w:color w:val="000000"/>
          <w:szCs w:val="24"/>
        </w:rPr>
        <w:t xml:space="preserve"> </w:t>
      </w:r>
      <w:r w:rsidR="004356CA" w:rsidRPr="00F604F6">
        <w:rPr>
          <w:rFonts w:cs="Arial"/>
          <w:bCs/>
          <w:color w:val="000000"/>
          <w:szCs w:val="24"/>
        </w:rPr>
        <w:t>A</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Ducher</w:t>
      </w:r>
      <w:r w:rsidR="004356CA">
        <w:rPr>
          <w:rFonts w:cs="Arial"/>
          <w:bCs/>
          <w:color w:val="000000"/>
          <w:szCs w:val="24"/>
        </w:rPr>
        <w:t xml:space="preserve"> </w:t>
      </w:r>
      <w:r w:rsidR="004356CA" w:rsidRPr="00F604F6">
        <w:rPr>
          <w:rFonts w:cs="Arial"/>
          <w:bCs/>
          <w:color w:val="000000"/>
          <w:szCs w:val="24"/>
        </w:rPr>
        <w:t>A</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Le Chatelier</w:t>
      </w:r>
      <w:r w:rsidR="004356CA" w:rsidRPr="004356CA">
        <w:rPr>
          <w:rFonts w:cs="Arial"/>
          <w:bCs/>
          <w:color w:val="000000"/>
          <w:szCs w:val="24"/>
        </w:rPr>
        <w:t xml:space="preserve"> </w:t>
      </w:r>
      <w:r w:rsidR="004356CA" w:rsidRPr="00F604F6">
        <w:rPr>
          <w:rFonts w:cs="Arial"/>
          <w:bCs/>
          <w:color w:val="000000"/>
          <w:szCs w:val="24"/>
        </w:rPr>
        <w:t>E</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Duval</w:t>
      </w:r>
      <w:r w:rsidR="004356CA" w:rsidRPr="004356CA">
        <w:rPr>
          <w:rFonts w:cs="Arial"/>
          <w:bCs/>
          <w:color w:val="000000"/>
          <w:szCs w:val="24"/>
        </w:rPr>
        <w:t xml:space="preserve"> </w:t>
      </w:r>
      <w:r w:rsidR="004356CA" w:rsidRPr="00F604F6">
        <w:rPr>
          <w:rFonts w:cs="Arial"/>
          <w:bCs/>
          <w:color w:val="000000"/>
          <w:szCs w:val="24"/>
        </w:rPr>
        <w:t>X</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Ruppé</w:t>
      </w:r>
      <w:r w:rsidR="004356CA" w:rsidRPr="004356CA">
        <w:rPr>
          <w:rFonts w:cs="Arial"/>
          <w:bCs/>
          <w:color w:val="000000"/>
          <w:szCs w:val="24"/>
        </w:rPr>
        <w:t xml:space="preserve"> </w:t>
      </w:r>
      <w:r w:rsidR="004356CA" w:rsidRPr="00F604F6">
        <w:rPr>
          <w:rFonts w:cs="Arial"/>
          <w:bCs/>
          <w:color w:val="000000"/>
          <w:szCs w:val="24"/>
        </w:rPr>
        <w:t>E</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Armand-Lefevre</w:t>
      </w:r>
      <w:r w:rsidR="004356CA" w:rsidRPr="004356CA">
        <w:rPr>
          <w:rFonts w:cs="Arial"/>
          <w:bCs/>
          <w:color w:val="000000"/>
          <w:szCs w:val="24"/>
        </w:rPr>
        <w:t xml:space="preserve"> </w:t>
      </w:r>
      <w:r w:rsidR="004356CA" w:rsidRPr="00F604F6">
        <w:rPr>
          <w:rFonts w:cs="Arial"/>
          <w:bCs/>
          <w:color w:val="000000"/>
          <w:szCs w:val="24"/>
        </w:rPr>
        <w:t>L</w:t>
      </w:r>
      <w:r w:rsidRPr="00F604F6">
        <w:rPr>
          <w:rFonts w:cs="Arial"/>
          <w:bCs/>
          <w:color w:val="000000"/>
          <w:szCs w:val="24"/>
        </w:rPr>
        <w:t>,</w:t>
      </w:r>
      <w:r w:rsidR="004356CA">
        <w:rPr>
          <w:rFonts w:cs="Arial"/>
          <w:bCs/>
          <w:color w:val="0000FF"/>
          <w:szCs w:val="24"/>
        </w:rPr>
        <w:t xml:space="preserve"> </w:t>
      </w:r>
      <w:r w:rsidRPr="00F604F6">
        <w:rPr>
          <w:rFonts w:cs="Arial"/>
          <w:bCs/>
          <w:color w:val="000000"/>
          <w:szCs w:val="24"/>
        </w:rPr>
        <w:t>Sablier-Gallis</w:t>
      </w:r>
      <w:r w:rsidR="004356CA">
        <w:rPr>
          <w:rFonts w:cs="Arial"/>
          <w:bCs/>
          <w:color w:val="000000"/>
          <w:szCs w:val="24"/>
        </w:rPr>
        <w:t xml:space="preserve"> </w:t>
      </w:r>
      <w:r w:rsidR="004356CA" w:rsidRPr="00F604F6">
        <w:rPr>
          <w:rFonts w:cs="Arial"/>
          <w:bCs/>
          <w:color w:val="000000"/>
          <w:szCs w:val="24"/>
        </w:rPr>
        <w:t>F</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Burdet</w:t>
      </w:r>
      <w:r w:rsidR="004356CA" w:rsidRPr="004356CA">
        <w:rPr>
          <w:rFonts w:cs="Arial"/>
          <w:bCs/>
          <w:color w:val="000000"/>
          <w:szCs w:val="24"/>
        </w:rPr>
        <w:t xml:space="preserve"> </w:t>
      </w:r>
      <w:r w:rsidR="004356CA" w:rsidRPr="00F604F6">
        <w:rPr>
          <w:rFonts w:cs="Arial"/>
          <w:bCs/>
          <w:color w:val="000000"/>
          <w:szCs w:val="24"/>
        </w:rPr>
        <w:t>C</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Alavoine</w:t>
      </w:r>
      <w:r w:rsidR="004356CA" w:rsidRPr="004356CA">
        <w:rPr>
          <w:rFonts w:cs="Arial"/>
          <w:bCs/>
          <w:color w:val="000000"/>
          <w:szCs w:val="24"/>
        </w:rPr>
        <w:t xml:space="preserve"> </w:t>
      </w:r>
      <w:r w:rsidR="004356CA" w:rsidRPr="00F604F6">
        <w:rPr>
          <w:rFonts w:cs="Arial"/>
          <w:bCs/>
          <w:color w:val="000000"/>
          <w:szCs w:val="24"/>
        </w:rPr>
        <w:t>L</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Chachaty</w:t>
      </w:r>
      <w:r w:rsidR="004356CA" w:rsidRPr="004356CA">
        <w:rPr>
          <w:rFonts w:cs="Arial"/>
          <w:bCs/>
          <w:color w:val="000000"/>
          <w:szCs w:val="24"/>
        </w:rPr>
        <w:t xml:space="preserve"> </w:t>
      </w:r>
      <w:r w:rsidR="004356CA" w:rsidRPr="00F604F6">
        <w:rPr>
          <w:rFonts w:cs="Arial"/>
          <w:bCs/>
          <w:color w:val="000000"/>
          <w:szCs w:val="24"/>
        </w:rPr>
        <w:t>E</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Augustin</w:t>
      </w:r>
      <w:r w:rsidR="004356CA">
        <w:rPr>
          <w:rFonts w:cs="Arial"/>
          <w:bCs/>
          <w:color w:val="000000"/>
          <w:szCs w:val="24"/>
        </w:rPr>
        <w:t xml:space="preserve"> </w:t>
      </w:r>
      <w:r w:rsidR="004356CA" w:rsidRPr="00F604F6">
        <w:rPr>
          <w:rFonts w:cs="Arial"/>
          <w:bCs/>
          <w:color w:val="000000"/>
          <w:szCs w:val="24"/>
        </w:rPr>
        <w:t>V</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Varastet</w:t>
      </w:r>
      <w:r w:rsidR="004356CA">
        <w:rPr>
          <w:rFonts w:cs="Arial"/>
          <w:bCs/>
          <w:color w:val="000000"/>
          <w:szCs w:val="24"/>
        </w:rPr>
        <w:t xml:space="preserve"> </w:t>
      </w:r>
      <w:r w:rsidR="004356CA" w:rsidRPr="00F604F6">
        <w:rPr>
          <w:rFonts w:cs="Arial"/>
          <w:bCs/>
          <w:color w:val="000000"/>
          <w:szCs w:val="24"/>
        </w:rPr>
        <w:t>M</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Levenez</w:t>
      </w:r>
      <w:r w:rsidR="004356CA" w:rsidRPr="004356CA">
        <w:rPr>
          <w:rFonts w:cs="Arial"/>
          <w:bCs/>
          <w:color w:val="000000"/>
          <w:szCs w:val="24"/>
        </w:rPr>
        <w:t xml:space="preserve"> </w:t>
      </w:r>
      <w:r w:rsidR="004356CA" w:rsidRPr="00F604F6">
        <w:rPr>
          <w:rFonts w:cs="Arial"/>
          <w:bCs/>
          <w:color w:val="000000"/>
          <w:szCs w:val="24"/>
        </w:rPr>
        <w:t>F</w:t>
      </w:r>
      <w:r w:rsidRPr="00F604F6">
        <w:rPr>
          <w:rFonts w:cs="Arial"/>
          <w:bCs/>
          <w:color w:val="000000"/>
          <w:szCs w:val="24"/>
        </w:rPr>
        <w:t>,</w:t>
      </w:r>
      <w:r w:rsidR="004356CA">
        <w:rPr>
          <w:rFonts w:cs="Arial"/>
          <w:bCs/>
          <w:color w:val="0000FF"/>
          <w:szCs w:val="24"/>
        </w:rPr>
        <w:t xml:space="preserve"> </w:t>
      </w:r>
      <w:r w:rsidRPr="00F604F6">
        <w:rPr>
          <w:rFonts w:cs="Arial"/>
          <w:bCs/>
          <w:color w:val="000000"/>
          <w:szCs w:val="24"/>
        </w:rPr>
        <w:t>Kennedy</w:t>
      </w:r>
      <w:r w:rsidR="004356CA">
        <w:rPr>
          <w:rFonts w:cs="Arial"/>
          <w:bCs/>
          <w:color w:val="000000"/>
          <w:szCs w:val="24"/>
        </w:rPr>
        <w:t xml:space="preserve"> </w:t>
      </w:r>
      <w:r w:rsidR="004356CA" w:rsidRPr="00F604F6">
        <w:rPr>
          <w:rFonts w:cs="Arial"/>
          <w:bCs/>
          <w:color w:val="000000"/>
          <w:szCs w:val="24"/>
        </w:rPr>
        <w:t>S</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Pons</w:t>
      </w:r>
      <w:r w:rsidR="004356CA" w:rsidRPr="004356CA">
        <w:rPr>
          <w:rFonts w:cs="Arial"/>
          <w:bCs/>
          <w:color w:val="000000"/>
          <w:szCs w:val="24"/>
        </w:rPr>
        <w:t xml:space="preserve"> </w:t>
      </w:r>
      <w:r w:rsidR="004356CA" w:rsidRPr="00F604F6">
        <w:rPr>
          <w:rFonts w:cs="Arial"/>
          <w:bCs/>
          <w:color w:val="000000"/>
          <w:szCs w:val="24"/>
        </w:rPr>
        <w:t>N</w:t>
      </w:r>
      <w:r w:rsidRPr="00F604F6">
        <w:rPr>
          <w:rFonts w:cs="Arial"/>
          <w:bCs/>
          <w:color w:val="000000"/>
          <w:szCs w:val="24"/>
        </w:rPr>
        <w:t>,</w:t>
      </w:r>
      <w:r w:rsidRPr="00F604F6">
        <w:rPr>
          <w:rFonts w:cs="Arial"/>
          <w:bCs/>
          <w:color w:val="0000FF"/>
          <w:szCs w:val="24"/>
        </w:rPr>
        <w:t xml:space="preserve"> </w:t>
      </w:r>
      <w:r w:rsidRPr="00F604F6">
        <w:rPr>
          <w:rFonts w:cs="Arial"/>
          <w:bCs/>
          <w:color w:val="000000"/>
          <w:szCs w:val="24"/>
        </w:rPr>
        <w:t>Mentré</w:t>
      </w:r>
      <w:r w:rsidR="004356CA" w:rsidRPr="004356CA">
        <w:rPr>
          <w:rFonts w:cs="Arial"/>
          <w:bCs/>
          <w:color w:val="000000"/>
          <w:szCs w:val="24"/>
        </w:rPr>
        <w:t xml:space="preserve"> </w:t>
      </w:r>
      <w:r w:rsidR="004356CA" w:rsidRPr="00F604F6">
        <w:rPr>
          <w:rFonts w:cs="Arial"/>
          <w:bCs/>
          <w:color w:val="000000"/>
          <w:szCs w:val="24"/>
        </w:rPr>
        <w:t>F</w:t>
      </w:r>
      <w:r w:rsidRPr="00F604F6">
        <w:rPr>
          <w:rFonts w:cs="Arial"/>
          <w:bCs/>
          <w:color w:val="000000"/>
          <w:szCs w:val="24"/>
        </w:rPr>
        <w:t>, Andremont</w:t>
      </w:r>
      <w:r w:rsidRPr="00F604F6">
        <w:rPr>
          <w:rFonts w:cs="Arial"/>
          <w:color w:val="000000"/>
          <w:szCs w:val="24"/>
        </w:rPr>
        <w:t xml:space="preserve"> </w:t>
      </w:r>
      <w:r w:rsidR="004356CA" w:rsidRPr="00F604F6">
        <w:rPr>
          <w:rFonts w:cs="Arial"/>
          <w:bCs/>
          <w:color w:val="000000"/>
          <w:szCs w:val="24"/>
        </w:rPr>
        <w:t>A</w:t>
      </w:r>
      <w:r w:rsidR="004356CA">
        <w:rPr>
          <w:rFonts w:cs="Arial"/>
          <w:bCs/>
          <w:color w:val="000000"/>
          <w:szCs w:val="24"/>
        </w:rPr>
        <w:t>.</w:t>
      </w:r>
      <w:r w:rsidR="004356CA" w:rsidRPr="00F604F6">
        <w:rPr>
          <w:rFonts w:cs="Arial"/>
          <w:bCs/>
          <w:color w:val="000000"/>
          <w:szCs w:val="24"/>
        </w:rPr>
        <w:t xml:space="preserve"> </w:t>
      </w:r>
      <w:r w:rsidRPr="00F604F6">
        <w:rPr>
          <w:rFonts w:cs="Arial"/>
          <w:color w:val="000000"/>
          <w:szCs w:val="24"/>
        </w:rPr>
        <w:t xml:space="preserve">Protection of the </w:t>
      </w:r>
      <w:r>
        <w:rPr>
          <w:rFonts w:cs="Arial"/>
          <w:color w:val="000000"/>
          <w:szCs w:val="24"/>
        </w:rPr>
        <w:t>h</w:t>
      </w:r>
      <w:r w:rsidRPr="00F604F6">
        <w:rPr>
          <w:rFonts w:cs="Arial"/>
          <w:color w:val="000000"/>
          <w:szCs w:val="24"/>
        </w:rPr>
        <w:t xml:space="preserve">uman </w:t>
      </w:r>
      <w:r>
        <w:rPr>
          <w:rFonts w:cs="Arial"/>
          <w:color w:val="000000"/>
          <w:szCs w:val="24"/>
        </w:rPr>
        <w:t>g</w:t>
      </w:r>
      <w:r w:rsidRPr="00F604F6">
        <w:rPr>
          <w:rFonts w:cs="Arial"/>
          <w:color w:val="000000"/>
          <w:szCs w:val="24"/>
        </w:rPr>
        <w:t xml:space="preserve">ut </w:t>
      </w:r>
      <w:r>
        <w:rPr>
          <w:rFonts w:cs="Arial"/>
          <w:color w:val="000000"/>
          <w:szCs w:val="24"/>
        </w:rPr>
        <w:t>m</w:t>
      </w:r>
      <w:r w:rsidRPr="00F604F6">
        <w:rPr>
          <w:rFonts w:cs="Arial"/>
          <w:color w:val="000000"/>
          <w:szCs w:val="24"/>
        </w:rPr>
        <w:t xml:space="preserve">icrobiome </w:t>
      </w:r>
      <w:r>
        <w:rPr>
          <w:rFonts w:cs="Arial"/>
          <w:color w:val="000000"/>
          <w:szCs w:val="24"/>
        </w:rPr>
        <w:t>f</w:t>
      </w:r>
      <w:r w:rsidRPr="00F604F6">
        <w:rPr>
          <w:rFonts w:cs="Arial"/>
          <w:color w:val="000000"/>
          <w:szCs w:val="24"/>
        </w:rPr>
        <w:t>rom</w:t>
      </w:r>
      <w:r>
        <w:rPr>
          <w:rFonts w:cs="Arial"/>
          <w:color w:val="000000"/>
          <w:szCs w:val="24"/>
        </w:rPr>
        <w:t xml:space="preserve"> a</w:t>
      </w:r>
      <w:r w:rsidRPr="00F604F6">
        <w:rPr>
          <w:rFonts w:cs="Arial"/>
          <w:color w:val="000000"/>
          <w:szCs w:val="24"/>
        </w:rPr>
        <w:t>ntibiotics</w:t>
      </w:r>
      <w:r w:rsidR="004356CA">
        <w:rPr>
          <w:rFonts w:cs="Arial"/>
          <w:color w:val="000000"/>
          <w:szCs w:val="24"/>
        </w:rPr>
        <w:t xml:space="preserve">. </w:t>
      </w:r>
      <w:r w:rsidR="004356CA" w:rsidRPr="004356CA">
        <w:rPr>
          <w:rFonts w:cs="Arial"/>
          <w:bCs/>
          <w:szCs w:val="24"/>
        </w:rPr>
        <w:t>The Journal of Infectious Diseases® 2018</w:t>
      </w:r>
      <w:r w:rsidR="004356CA">
        <w:rPr>
          <w:rFonts w:cs="Arial"/>
          <w:bCs/>
          <w:szCs w:val="24"/>
        </w:rPr>
        <w:t xml:space="preserve"> </w:t>
      </w:r>
      <w:r w:rsidR="004356CA" w:rsidRPr="004356CA">
        <w:rPr>
          <w:rFonts w:cs="Arial"/>
          <w:b/>
          <w:bCs/>
          <w:szCs w:val="24"/>
        </w:rPr>
        <w:t>217</w:t>
      </w:r>
      <w:r w:rsidR="004356CA" w:rsidRPr="004356CA">
        <w:rPr>
          <w:rFonts w:cs="Arial"/>
          <w:bCs/>
          <w:szCs w:val="24"/>
        </w:rPr>
        <w:t>:</w:t>
      </w:r>
      <w:r w:rsidR="004356CA">
        <w:rPr>
          <w:rFonts w:cs="Arial"/>
          <w:bCs/>
          <w:szCs w:val="24"/>
        </w:rPr>
        <w:t xml:space="preserve"> </w:t>
      </w:r>
      <w:r w:rsidR="004356CA" w:rsidRPr="004356CA">
        <w:rPr>
          <w:rFonts w:cs="Arial"/>
          <w:bCs/>
          <w:szCs w:val="24"/>
        </w:rPr>
        <w:t>628–36</w:t>
      </w:r>
      <w:r w:rsidR="004356CA">
        <w:rPr>
          <w:rFonts w:cs="Arial"/>
          <w:bCs/>
          <w:szCs w:val="24"/>
        </w:rPr>
        <w:t>.</w:t>
      </w:r>
    </w:p>
    <w:p w:rsidR="008D7798" w:rsidRDefault="008D7798" w:rsidP="00F604F6">
      <w:pPr>
        <w:autoSpaceDE w:val="0"/>
        <w:autoSpaceDN w:val="0"/>
        <w:adjustRightInd w:val="0"/>
        <w:spacing w:after="0" w:line="240" w:lineRule="auto"/>
        <w:rPr>
          <w:rFonts w:cs="Arial"/>
          <w:bCs/>
          <w:szCs w:val="24"/>
        </w:rPr>
      </w:pPr>
    </w:p>
    <w:p w:rsidR="008D7798" w:rsidRPr="004356CA" w:rsidRDefault="008D7798" w:rsidP="00F604F6">
      <w:pPr>
        <w:autoSpaceDE w:val="0"/>
        <w:autoSpaceDN w:val="0"/>
        <w:adjustRightInd w:val="0"/>
        <w:spacing w:after="0" w:line="240" w:lineRule="auto"/>
        <w:rPr>
          <w:rFonts w:cs="Arial"/>
          <w:bCs/>
          <w:color w:val="0000FF"/>
          <w:szCs w:val="24"/>
        </w:rPr>
      </w:pPr>
      <w:r>
        <w:t>den Besten G, van Eunen</w:t>
      </w:r>
      <w:r w:rsidRPr="008D7798">
        <w:t xml:space="preserve"> </w:t>
      </w:r>
      <w:r>
        <w:t>K, Groen AK, Venema</w:t>
      </w:r>
      <w:r w:rsidRPr="008D7798">
        <w:t xml:space="preserve"> </w:t>
      </w:r>
      <w:r>
        <w:t>K, Reijngoud</w:t>
      </w:r>
      <w:r w:rsidRPr="008D7798">
        <w:t xml:space="preserve"> </w:t>
      </w:r>
      <w:r>
        <w:t>D-J, Bakker</w:t>
      </w:r>
      <w:r w:rsidRPr="008D7798">
        <w:t xml:space="preserve"> </w:t>
      </w:r>
      <w:r>
        <w:t xml:space="preserve">BM. The role of short-chain fatty acids in the interplay between diet, gut microbiota, and host energy metabolism. Journal of. Lipid Research. 2013. </w:t>
      </w:r>
      <w:r w:rsidRPr="00FC165B">
        <w:rPr>
          <w:b/>
          <w:bCs/>
        </w:rPr>
        <w:t>54</w:t>
      </w:r>
      <w:r>
        <w:t xml:space="preserve">: 2325–2340. </w:t>
      </w:r>
    </w:p>
    <w:p w:rsidR="004356CA" w:rsidRDefault="004356CA" w:rsidP="00812453">
      <w:pPr>
        <w:pStyle w:val="ListParagraph"/>
        <w:ind w:left="0"/>
      </w:pPr>
    </w:p>
    <w:p w:rsidR="00D8136A" w:rsidRPr="00F94FA9" w:rsidRDefault="00D8136A" w:rsidP="00812453">
      <w:pPr>
        <w:pStyle w:val="ListParagraph"/>
        <w:ind w:left="0"/>
      </w:pPr>
      <w:r w:rsidRPr="00F94FA9">
        <w:t xml:space="preserve">Dheer R, Patterson J, Dudash M, Stachler EN, Bibby KJ, Stolz DB, Shiva S, Wang Z, Hazen SL, Barchowsky A, Stolz JF. Arsenic induces structural and compositional change and promotes nitrogen and amino acid metabolism. Toxicology and Applied Pharmacology 2015 </w:t>
      </w:r>
      <w:r w:rsidRPr="00F94FA9">
        <w:rPr>
          <w:b/>
        </w:rPr>
        <w:t>289</w:t>
      </w:r>
      <w:r w:rsidRPr="00F94FA9">
        <w:t>: 397 – 408.</w:t>
      </w:r>
    </w:p>
    <w:p w:rsidR="00D8136A" w:rsidRPr="00F94FA9" w:rsidRDefault="00D8136A" w:rsidP="00812453">
      <w:pPr>
        <w:pStyle w:val="ListParagraph"/>
        <w:ind w:left="0"/>
      </w:pPr>
    </w:p>
    <w:p w:rsidR="00D8136A" w:rsidRDefault="00D8136A" w:rsidP="00812453">
      <w:pPr>
        <w:pStyle w:val="ListParagraph"/>
        <w:spacing w:before="240"/>
        <w:ind w:left="0"/>
      </w:pPr>
      <w:r w:rsidRPr="00F94FA9">
        <w:t>Dong X, Shutzhenko N, Lemaitre J, Greer RL, Peremyslova K, Quamruzzaman Q, Rahman M, Sharif M, Hasan I, Joya SA, Golam M, Christiani DC, Morgan A, Kile ML. Arsenic exposure and intestinal microbiota in children from Sirajdikhan, Bangladesh. PLOS One 2017 12(12) e188487</w:t>
      </w:r>
      <w:r w:rsidR="006C607E">
        <w:t>.</w:t>
      </w:r>
    </w:p>
    <w:p w:rsidR="0088381F" w:rsidRDefault="006C607E" w:rsidP="006C607E">
      <w:pPr>
        <w:spacing w:before="240"/>
      </w:pPr>
      <w:r>
        <w:t xml:space="preserve">Eng A, Borenstein E. </w:t>
      </w:r>
      <w:r w:rsidRPr="006C607E">
        <w:t xml:space="preserve">Taxa-function </w:t>
      </w:r>
      <w:r>
        <w:t>r</w:t>
      </w:r>
      <w:r w:rsidRPr="006C607E">
        <w:t xml:space="preserve">obustness in </w:t>
      </w:r>
      <w:r>
        <w:t>m</w:t>
      </w:r>
      <w:r w:rsidRPr="006C607E">
        <w:t xml:space="preserve">icrobial </w:t>
      </w:r>
      <w:r>
        <w:t>c</w:t>
      </w:r>
      <w:r w:rsidRPr="006C607E">
        <w:t>ommunities</w:t>
      </w:r>
      <w:r>
        <w:t>.</w:t>
      </w:r>
      <w:r w:rsidRPr="006C607E">
        <w:t xml:space="preserve"> </w:t>
      </w:r>
      <w:r>
        <w:t xml:space="preserve">Microbiome 2018 </w:t>
      </w:r>
      <w:r w:rsidRPr="006C607E">
        <w:rPr>
          <w:b/>
          <w:bCs/>
        </w:rPr>
        <w:t>6</w:t>
      </w:r>
      <w:r>
        <w:t xml:space="preserve"> (1): 45 </w:t>
      </w:r>
      <w:r w:rsidR="0088381F">
        <w:t>–</w:t>
      </w:r>
      <w:r>
        <w:t xml:space="preserve"> 63</w:t>
      </w:r>
      <w:r w:rsidR="0088381F">
        <w:t>.</w:t>
      </w:r>
    </w:p>
    <w:p w:rsidR="0088381F" w:rsidRPr="00C63DCA" w:rsidRDefault="00323507" w:rsidP="0088381F">
      <w:pPr>
        <w:shd w:val="clear" w:color="auto" w:fill="FFFFFF"/>
        <w:textAlignment w:val="top"/>
        <w:rPr>
          <w:rFonts w:cs="Arial"/>
          <w:color w:val="000000"/>
          <w:szCs w:val="24"/>
        </w:rPr>
      </w:pPr>
      <w:hyperlink r:id="rId12" w:history="1">
        <w:r w:rsidR="0088381F" w:rsidRPr="00FC165B">
          <w:rPr>
            <w:rStyle w:val="Hyperlink"/>
            <w:rFonts w:cs="Arial"/>
            <w:color w:val="642A8F"/>
            <w:szCs w:val="24"/>
          </w:rPr>
          <w:t>Engen</w:t>
        </w:r>
      </w:hyperlink>
      <w:r w:rsidR="0088381F" w:rsidRPr="0088381F">
        <w:t xml:space="preserve"> </w:t>
      </w:r>
      <w:r w:rsidR="0088381F" w:rsidRPr="0088381F">
        <w:rPr>
          <w:rFonts w:cs="Arial"/>
          <w:color w:val="000000"/>
          <w:szCs w:val="24"/>
        </w:rPr>
        <w:t>PA</w:t>
      </w:r>
      <w:r w:rsidR="0088381F" w:rsidRPr="00FC165B">
        <w:rPr>
          <w:rFonts w:cs="Arial"/>
          <w:color w:val="000000"/>
          <w:szCs w:val="24"/>
        </w:rPr>
        <w:t>, </w:t>
      </w:r>
      <w:hyperlink r:id="rId13" w:history="1">
        <w:r w:rsidR="0088381F" w:rsidRPr="00FC165B">
          <w:rPr>
            <w:rStyle w:val="Hyperlink"/>
            <w:rFonts w:cs="Arial"/>
            <w:color w:val="642A8F"/>
            <w:szCs w:val="24"/>
          </w:rPr>
          <w:t xml:space="preserve"> Green</w:t>
        </w:r>
      </w:hyperlink>
      <w:r w:rsidR="0088381F" w:rsidRPr="0088381F">
        <w:t xml:space="preserve"> </w:t>
      </w:r>
      <w:r w:rsidR="0088381F" w:rsidRPr="0088381F">
        <w:rPr>
          <w:rFonts w:cs="Arial"/>
          <w:color w:val="000000"/>
          <w:szCs w:val="24"/>
        </w:rPr>
        <w:t>SJ</w:t>
      </w:r>
      <w:r w:rsidR="0088381F">
        <w:rPr>
          <w:rFonts w:cs="Arial"/>
          <w:color w:val="000000"/>
          <w:szCs w:val="24"/>
        </w:rPr>
        <w:t>,</w:t>
      </w:r>
      <w:r w:rsidR="0088381F" w:rsidRPr="00FC165B">
        <w:rPr>
          <w:rFonts w:cs="Arial"/>
          <w:color w:val="000000"/>
          <w:szCs w:val="24"/>
        </w:rPr>
        <w:t xml:space="preserve"> </w:t>
      </w:r>
      <w:hyperlink r:id="rId14" w:history="1">
        <w:r w:rsidR="0088381F" w:rsidRPr="00FC165B">
          <w:rPr>
            <w:rStyle w:val="Hyperlink"/>
            <w:rFonts w:cs="Arial"/>
            <w:color w:val="642A8F"/>
            <w:szCs w:val="24"/>
          </w:rPr>
          <w:t>Voigt</w:t>
        </w:r>
      </w:hyperlink>
      <w:r w:rsidR="0088381F" w:rsidRPr="0088381F">
        <w:t xml:space="preserve"> </w:t>
      </w:r>
      <w:r w:rsidR="0088381F" w:rsidRPr="0088381F">
        <w:rPr>
          <w:rFonts w:cs="Arial"/>
          <w:color w:val="000000"/>
          <w:szCs w:val="24"/>
        </w:rPr>
        <w:t>RM</w:t>
      </w:r>
      <w:r w:rsidR="0088381F">
        <w:rPr>
          <w:rFonts w:cs="Arial"/>
          <w:color w:val="000000"/>
          <w:szCs w:val="24"/>
        </w:rPr>
        <w:t xml:space="preserve">, </w:t>
      </w:r>
      <w:hyperlink r:id="rId15" w:history="1">
        <w:r w:rsidR="0088381F" w:rsidRPr="00FC165B">
          <w:rPr>
            <w:rStyle w:val="Hyperlink"/>
            <w:rFonts w:cs="Arial"/>
            <w:color w:val="642A8F"/>
            <w:szCs w:val="24"/>
          </w:rPr>
          <w:t>Forsyth</w:t>
        </w:r>
      </w:hyperlink>
      <w:r w:rsidR="0088381F" w:rsidRPr="0088381F">
        <w:t xml:space="preserve"> </w:t>
      </w:r>
      <w:r w:rsidR="0088381F" w:rsidRPr="0088381F">
        <w:rPr>
          <w:rFonts w:cs="Arial"/>
          <w:color w:val="000000"/>
          <w:szCs w:val="24"/>
        </w:rPr>
        <w:t>CB</w:t>
      </w:r>
      <w:r w:rsidR="0088381F">
        <w:rPr>
          <w:rFonts w:cs="Arial"/>
          <w:color w:val="000000"/>
          <w:szCs w:val="24"/>
        </w:rPr>
        <w:t xml:space="preserve">, </w:t>
      </w:r>
      <w:hyperlink r:id="rId16" w:history="1">
        <w:r w:rsidR="0088381F" w:rsidRPr="00FC165B">
          <w:rPr>
            <w:rStyle w:val="Hyperlink"/>
            <w:rFonts w:cs="Arial"/>
            <w:color w:val="642A8F"/>
            <w:szCs w:val="24"/>
          </w:rPr>
          <w:t>Keshavarzian</w:t>
        </w:r>
      </w:hyperlink>
      <w:r w:rsidR="0088381F">
        <w:rPr>
          <w:rFonts w:cs="Arial"/>
          <w:color w:val="000000"/>
          <w:szCs w:val="24"/>
        </w:rPr>
        <w:t xml:space="preserve"> A</w:t>
      </w:r>
      <w:r w:rsidR="0088381F" w:rsidRPr="00FC165B">
        <w:rPr>
          <w:rFonts w:cs="Arial"/>
          <w:color w:val="000000"/>
          <w:szCs w:val="24"/>
        </w:rPr>
        <w:t>,.</w:t>
      </w:r>
      <w:r w:rsidR="0088381F" w:rsidRPr="0088381F">
        <w:rPr>
          <w:rFonts w:cs="Arial"/>
          <w:color w:val="000000"/>
          <w:szCs w:val="24"/>
        </w:rPr>
        <w:t xml:space="preserve"> </w:t>
      </w:r>
      <w:r w:rsidR="0088381F" w:rsidRPr="008D27E9">
        <w:rPr>
          <w:rFonts w:cs="Arial"/>
          <w:color w:val="000000"/>
          <w:szCs w:val="24"/>
        </w:rPr>
        <w:t>The Gastrointestinal Microbiome</w:t>
      </w:r>
      <w:r w:rsidR="0088381F">
        <w:rPr>
          <w:rFonts w:cs="Arial"/>
          <w:color w:val="000000"/>
          <w:szCs w:val="24"/>
        </w:rPr>
        <w:t xml:space="preserve">. </w:t>
      </w:r>
      <w:r w:rsidR="0088381F" w:rsidRPr="008D27E9">
        <w:rPr>
          <w:rFonts w:cs="Arial"/>
          <w:color w:val="000000"/>
          <w:szCs w:val="24"/>
        </w:rPr>
        <w:t>Alcohol Effects on the Composition of Intestinal Microbiota</w:t>
      </w:r>
      <w:r w:rsidR="0088381F">
        <w:rPr>
          <w:rFonts w:cs="Arial"/>
          <w:color w:val="000000"/>
          <w:szCs w:val="24"/>
        </w:rPr>
        <w:t xml:space="preserve">. </w:t>
      </w:r>
      <w:hyperlink r:id="rId17" w:history="1">
        <w:r w:rsidR="0088381F" w:rsidRPr="00C63DCA">
          <w:rPr>
            <w:rStyle w:val="Hyperlink"/>
            <w:rFonts w:cs="Arial"/>
            <w:color w:val="642A8F"/>
            <w:szCs w:val="24"/>
          </w:rPr>
          <w:t>Alcoh</w:t>
        </w:r>
        <w:r w:rsidR="0088381F">
          <w:rPr>
            <w:rStyle w:val="Hyperlink"/>
            <w:rFonts w:cs="Arial"/>
            <w:color w:val="642A8F"/>
            <w:szCs w:val="24"/>
          </w:rPr>
          <w:t>o</w:t>
        </w:r>
        <w:r w:rsidR="0088381F" w:rsidRPr="00C63DCA">
          <w:rPr>
            <w:rStyle w:val="Hyperlink"/>
            <w:rFonts w:cs="Arial"/>
            <w:color w:val="642A8F"/>
            <w:szCs w:val="24"/>
          </w:rPr>
          <w:t>l Res</w:t>
        </w:r>
      </w:hyperlink>
      <w:r w:rsidR="0088381F">
        <w:rPr>
          <w:rStyle w:val="cit"/>
          <w:rFonts w:cs="Arial"/>
          <w:color w:val="000000"/>
          <w:szCs w:val="24"/>
        </w:rPr>
        <w:t>earch</w:t>
      </w:r>
      <w:r w:rsidR="0088381F" w:rsidRPr="00C63DCA">
        <w:rPr>
          <w:rStyle w:val="cit"/>
          <w:rFonts w:cs="Arial"/>
          <w:color w:val="000000"/>
          <w:szCs w:val="24"/>
        </w:rPr>
        <w:t xml:space="preserve">. 2015; </w:t>
      </w:r>
      <w:r w:rsidR="0088381F" w:rsidRPr="00FC165B">
        <w:rPr>
          <w:rStyle w:val="cit"/>
          <w:rFonts w:cs="Arial"/>
          <w:b/>
          <w:bCs/>
          <w:color w:val="000000"/>
          <w:szCs w:val="24"/>
        </w:rPr>
        <w:t>37</w:t>
      </w:r>
      <w:r w:rsidR="0088381F" w:rsidRPr="00C63DCA">
        <w:rPr>
          <w:rStyle w:val="cit"/>
          <w:rFonts w:cs="Arial"/>
          <w:color w:val="000000"/>
          <w:szCs w:val="24"/>
        </w:rPr>
        <w:t>(2): 223–236.</w:t>
      </w:r>
    </w:p>
    <w:p w:rsidR="0088381F" w:rsidRPr="008D27E9" w:rsidRDefault="0088381F" w:rsidP="00FC165B">
      <w:pPr>
        <w:pStyle w:val="Heading1"/>
        <w:shd w:val="clear" w:color="auto" w:fill="FFFFFF"/>
        <w:spacing w:after="120" w:line="324" w:lineRule="atLeast"/>
        <w:rPr>
          <w:rFonts w:cs="Arial"/>
          <w:color w:val="000000"/>
          <w:szCs w:val="24"/>
        </w:rPr>
      </w:pPr>
    </w:p>
    <w:p w:rsidR="0088381F" w:rsidRPr="00FC165B" w:rsidRDefault="0088381F" w:rsidP="0088381F">
      <w:pPr>
        <w:shd w:val="clear" w:color="auto" w:fill="FFFFFF"/>
        <w:rPr>
          <w:rFonts w:cs="Arial"/>
          <w:color w:val="000000"/>
          <w:szCs w:val="24"/>
        </w:rPr>
      </w:pPr>
    </w:p>
    <w:p w:rsidR="006C607E" w:rsidRPr="00F94FA9" w:rsidRDefault="006C607E" w:rsidP="006C607E">
      <w:pPr>
        <w:spacing w:before="240"/>
      </w:pPr>
    </w:p>
    <w:p w:rsidR="00F55126" w:rsidRPr="00F94FA9" w:rsidRDefault="00F55126" w:rsidP="00DC0CF2">
      <w:pPr>
        <w:rPr>
          <w:rStyle w:val="SubtleReference"/>
          <w:smallCaps w:val="0"/>
          <w:color w:val="auto"/>
        </w:rPr>
      </w:pPr>
      <w:r w:rsidRPr="00F94FA9">
        <w:rPr>
          <w:rStyle w:val="SubtleReference"/>
          <w:smallCaps w:val="0"/>
          <w:color w:val="auto"/>
        </w:rPr>
        <w:t xml:space="preserve">Fader KA, Nault R, Zhang C, Kumagai K, </w:t>
      </w:r>
      <w:r w:rsidR="008604FA">
        <w:rPr>
          <w:rStyle w:val="SubtleReference"/>
          <w:smallCaps w:val="0"/>
          <w:color w:val="auto"/>
        </w:rPr>
        <w:t>H</w:t>
      </w:r>
      <w:r w:rsidRPr="00F94FA9">
        <w:rPr>
          <w:rStyle w:val="SubtleReference"/>
          <w:smallCaps w:val="0"/>
          <w:color w:val="auto"/>
        </w:rPr>
        <w:t>arkema JR, Zacherowski TR. 2,3,7,8-tetrachlorodibenzo-</w:t>
      </w:r>
      <w:r w:rsidRPr="00F94FA9">
        <w:rPr>
          <w:rStyle w:val="SubtleReference"/>
          <w:i/>
          <w:smallCaps w:val="0"/>
          <w:color w:val="auto"/>
        </w:rPr>
        <w:t>p</w:t>
      </w:r>
      <w:r w:rsidRPr="00F94FA9">
        <w:rPr>
          <w:rStyle w:val="SubtleReference"/>
          <w:smallCaps w:val="0"/>
          <w:color w:val="auto"/>
        </w:rPr>
        <w:t xml:space="preserve">-dioxin (TCDD)-elicited effects on bile acid homeostasis; alterations in biosynthesis, enterohepatic circulation, and microbial metabolism. Nature Scientific Reports 2017 </w:t>
      </w:r>
      <w:r w:rsidRPr="00F94FA9">
        <w:rPr>
          <w:rStyle w:val="SubtleReference"/>
          <w:b/>
          <w:smallCaps w:val="0"/>
          <w:color w:val="auto"/>
        </w:rPr>
        <w:t>7</w:t>
      </w:r>
      <w:r w:rsidRPr="00F94FA9">
        <w:rPr>
          <w:rStyle w:val="SubtleReference"/>
          <w:smallCaps w:val="0"/>
          <w:color w:val="auto"/>
        </w:rPr>
        <w:t>: 5921 doi: 10.1038/s41598-017-05656-8.</w:t>
      </w:r>
    </w:p>
    <w:p w:rsidR="00D8136A" w:rsidRPr="00F94FA9" w:rsidRDefault="00D8136A" w:rsidP="009149E2">
      <w:pPr>
        <w:pStyle w:val="ListParagraph"/>
        <w:ind w:left="0"/>
      </w:pPr>
      <w:r w:rsidRPr="00F94FA9">
        <w:t xml:space="preserve">Fang B, Li JW, Zhang M, Ren FZ, Pang GF. Chronic chlorpyrifos exposure elicits diet specific effects on metabolism and the gut microbiome in rats. Food and Chemical Toxicology 2018 </w:t>
      </w:r>
      <w:r w:rsidRPr="00F94FA9">
        <w:rPr>
          <w:b/>
        </w:rPr>
        <w:t>111</w:t>
      </w:r>
      <w:r w:rsidRPr="00F94FA9">
        <w:t>: 144 – 152.</w:t>
      </w:r>
    </w:p>
    <w:p w:rsidR="00D8136A" w:rsidRPr="00F94FA9" w:rsidRDefault="00D8136A" w:rsidP="009149E2">
      <w:pPr>
        <w:pStyle w:val="ListParagraph"/>
        <w:ind w:left="0"/>
      </w:pPr>
    </w:p>
    <w:p w:rsidR="00D8136A" w:rsidRPr="00F94FA9" w:rsidRDefault="00D8136A" w:rsidP="005035D0">
      <w:pPr>
        <w:pStyle w:val="ListParagraph"/>
        <w:spacing w:before="240"/>
        <w:ind w:left="0"/>
      </w:pPr>
      <w:r w:rsidRPr="00F94FA9">
        <w:t xml:space="preserve">Fazeli M, Hassanzadeh P, Alael S. cadmium chloride exhibits a profound toxic effect on the bacterial microflora of the mice gastrointestinal tract.  Human and Experimental Toxicology 2011 </w:t>
      </w:r>
      <w:r w:rsidRPr="00F94FA9">
        <w:rPr>
          <w:b/>
        </w:rPr>
        <w:t>30</w:t>
      </w:r>
      <w:r w:rsidRPr="00F94FA9">
        <w:t>(2): 152 – 159</w:t>
      </w:r>
      <w:r w:rsidR="00F3088C" w:rsidRPr="00F94FA9">
        <w:t>.</w:t>
      </w:r>
    </w:p>
    <w:p w:rsidR="00D8136A" w:rsidRPr="00F94FA9" w:rsidRDefault="00D8136A" w:rsidP="005035D0">
      <w:pPr>
        <w:pStyle w:val="ListParagraph"/>
        <w:spacing w:before="240"/>
        <w:ind w:left="0"/>
      </w:pPr>
    </w:p>
    <w:p w:rsidR="00D8136A" w:rsidRPr="00F94FA9" w:rsidRDefault="00D8136A" w:rsidP="00DD19CC">
      <w:pPr>
        <w:pStyle w:val="ListParagraph"/>
        <w:spacing w:before="240"/>
        <w:ind w:left="0"/>
      </w:pPr>
      <w:r w:rsidRPr="00F94FA9">
        <w:t xml:space="preserve">Feng P, Ye Z, Kakade A, Virk AK, Li X, Liu P. A review on gut remediation of selected environmental contaminants: possible roles of probiotics and gut microbiota. Nutrients 2019 </w:t>
      </w:r>
      <w:r w:rsidRPr="00F94FA9">
        <w:rPr>
          <w:b/>
        </w:rPr>
        <w:t>11</w:t>
      </w:r>
      <w:r w:rsidRPr="00F94FA9">
        <w:t>:22 – 40.</w:t>
      </w:r>
    </w:p>
    <w:p w:rsidR="00D8136A" w:rsidRPr="00F94FA9" w:rsidRDefault="00D8136A" w:rsidP="00DD19CC">
      <w:pPr>
        <w:pStyle w:val="ListParagraph"/>
        <w:spacing w:before="240"/>
        <w:ind w:left="0"/>
      </w:pPr>
    </w:p>
    <w:p w:rsidR="00D8136A" w:rsidRPr="00F94FA9" w:rsidRDefault="00D8136A" w:rsidP="00540FEA">
      <w:pPr>
        <w:pStyle w:val="ListParagraph"/>
        <w:spacing w:before="240"/>
        <w:ind w:left="0"/>
        <w:rPr>
          <w:szCs w:val="24"/>
        </w:rPr>
      </w:pPr>
      <w:r w:rsidRPr="00F94FA9">
        <w:rPr>
          <w:szCs w:val="24"/>
        </w:rPr>
        <w:t xml:space="preserve">Ferrer M, Mendez-Garcia C, Rojo D, Barbas C, Moya A. Antibiotic use and microbiome function. Biochemical Pharmacology 2017 </w:t>
      </w:r>
      <w:r w:rsidRPr="00F94FA9">
        <w:rPr>
          <w:b/>
          <w:szCs w:val="24"/>
        </w:rPr>
        <w:t>134</w:t>
      </w:r>
      <w:r w:rsidRPr="00F94FA9">
        <w:rPr>
          <w:szCs w:val="24"/>
        </w:rPr>
        <w:t>: 114 – 126.</w:t>
      </w:r>
    </w:p>
    <w:p w:rsidR="006C5D27" w:rsidRPr="00F94FA9" w:rsidRDefault="006C5D27" w:rsidP="00540FEA">
      <w:pPr>
        <w:pStyle w:val="ListParagraph"/>
        <w:spacing w:before="240"/>
        <w:ind w:left="0"/>
        <w:rPr>
          <w:szCs w:val="24"/>
        </w:rPr>
      </w:pPr>
    </w:p>
    <w:p w:rsidR="006C5D27" w:rsidRDefault="006C5D27" w:rsidP="00540FEA">
      <w:pPr>
        <w:pStyle w:val="ListParagraph"/>
        <w:spacing w:before="240"/>
        <w:ind w:left="0"/>
        <w:rPr>
          <w:szCs w:val="24"/>
        </w:rPr>
      </w:pPr>
      <w:r w:rsidRPr="00F94FA9">
        <w:rPr>
          <w:szCs w:val="24"/>
        </w:rPr>
        <w:t xml:space="preserve">Fijan S Microorganisms with claimed probiotic properties: an overview of recent literature. International Journal of Environmental Research and Public Health. 2014 </w:t>
      </w:r>
      <w:r w:rsidRPr="00F94FA9">
        <w:rPr>
          <w:b/>
          <w:szCs w:val="24"/>
        </w:rPr>
        <w:t>11</w:t>
      </w:r>
      <w:r w:rsidRPr="00F94FA9">
        <w:rPr>
          <w:szCs w:val="24"/>
        </w:rPr>
        <w:t>: 4745 – 4767.</w:t>
      </w:r>
    </w:p>
    <w:p w:rsidR="00F531BB" w:rsidRDefault="00F531BB" w:rsidP="00540FEA">
      <w:pPr>
        <w:pStyle w:val="ListParagraph"/>
        <w:spacing w:before="240"/>
        <w:ind w:left="0"/>
        <w:rPr>
          <w:szCs w:val="24"/>
        </w:rPr>
      </w:pPr>
    </w:p>
    <w:p w:rsidR="00F531BB" w:rsidRPr="0020245D" w:rsidRDefault="00F531BB" w:rsidP="00540FEA">
      <w:pPr>
        <w:pStyle w:val="ListParagraph"/>
        <w:spacing w:before="240"/>
        <w:ind w:left="0"/>
        <w:rPr>
          <w:szCs w:val="24"/>
        </w:rPr>
      </w:pPr>
      <w:r>
        <w:rPr>
          <w:szCs w:val="24"/>
        </w:rPr>
        <w:t>Forbes JD, Bernstein</w:t>
      </w:r>
      <w:r w:rsidR="0020245D">
        <w:rPr>
          <w:szCs w:val="24"/>
        </w:rPr>
        <w:t xml:space="preserve">CN, Tremlett H, van Domselaar G, Knox NC. A fungal world: could the gut mycobiome be involved in neurological disease? Frontiers in Microbiology 2019 </w:t>
      </w:r>
      <w:r w:rsidR="0020245D">
        <w:rPr>
          <w:b/>
          <w:bCs/>
          <w:szCs w:val="24"/>
        </w:rPr>
        <w:t>9</w:t>
      </w:r>
      <w:r w:rsidR="0020245D">
        <w:rPr>
          <w:szCs w:val="24"/>
        </w:rPr>
        <w:t xml:space="preserve"> doi: 10.3389/fmicb.2018.03249.</w:t>
      </w:r>
    </w:p>
    <w:p w:rsidR="00F829ED" w:rsidRDefault="00F829ED" w:rsidP="00540FEA">
      <w:pPr>
        <w:pStyle w:val="ListParagraph"/>
        <w:spacing w:before="240"/>
        <w:ind w:left="0"/>
        <w:rPr>
          <w:szCs w:val="24"/>
        </w:rPr>
      </w:pPr>
    </w:p>
    <w:p w:rsidR="00F829ED" w:rsidRPr="00F829ED" w:rsidRDefault="00F829ED" w:rsidP="00540FEA">
      <w:pPr>
        <w:pStyle w:val="ListParagraph"/>
        <w:spacing w:before="240"/>
        <w:ind w:left="0"/>
        <w:rPr>
          <w:szCs w:val="24"/>
        </w:rPr>
      </w:pPr>
      <w:r>
        <w:rPr>
          <w:szCs w:val="24"/>
        </w:rPr>
        <w:t>Gaci N, Borrel G, Tottey W, O’Toole PW, Brug</w:t>
      </w:r>
      <w:r>
        <w:rPr>
          <w:rFonts w:cs="Arial"/>
          <w:szCs w:val="24"/>
        </w:rPr>
        <w:t>è</w:t>
      </w:r>
      <w:r>
        <w:rPr>
          <w:szCs w:val="24"/>
        </w:rPr>
        <w:t xml:space="preserve">re J-F. Archaea and the human gut: New beginning of an old story. World Journal of Gastroenterology 2014 </w:t>
      </w:r>
      <w:r>
        <w:rPr>
          <w:b/>
          <w:bCs/>
          <w:szCs w:val="24"/>
        </w:rPr>
        <w:t>20</w:t>
      </w:r>
      <w:r>
        <w:rPr>
          <w:szCs w:val="24"/>
        </w:rPr>
        <w:t>(13): 16062 – 16078.</w:t>
      </w:r>
    </w:p>
    <w:p w:rsidR="00A30D47" w:rsidRPr="00A30D47" w:rsidRDefault="00A30D47" w:rsidP="00FC165B">
      <w:pPr>
        <w:autoSpaceDE w:val="0"/>
        <w:autoSpaceDN w:val="0"/>
        <w:adjustRightInd w:val="0"/>
        <w:spacing w:after="0" w:line="240" w:lineRule="auto"/>
        <w:rPr>
          <w:rFonts w:cs="Arial"/>
          <w:szCs w:val="24"/>
        </w:rPr>
      </w:pPr>
      <w:r w:rsidRPr="00445384">
        <w:rPr>
          <w:rFonts w:cs="Arial"/>
          <w:szCs w:val="24"/>
        </w:rPr>
        <w:t>Gamage HKAH, Tetu SG,</w:t>
      </w:r>
      <w:r>
        <w:rPr>
          <w:rFonts w:cs="Arial"/>
          <w:szCs w:val="24"/>
        </w:rPr>
        <w:t xml:space="preserve"> </w:t>
      </w:r>
      <w:r w:rsidRPr="00445384">
        <w:rPr>
          <w:rFonts w:cs="Arial"/>
          <w:szCs w:val="24"/>
        </w:rPr>
        <w:t>Chong RWW, Bucio-Noble D,</w:t>
      </w:r>
      <w:r>
        <w:rPr>
          <w:rFonts w:cs="Arial"/>
          <w:szCs w:val="24"/>
        </w:rPr>
        <w:t xml:space="preserve"> </w:t>
      </w:r>
      <w:r w:rsidRPr="00445384">
        <w:rPr>
          <w:rFonts w:cs="Arial"/>
          <w:szCs w:val="24"/>
        </w:rPr>
        <w:t>Rosewarne CP, Kautto L, Ball MS,</w:t>
      </w:r>
      <w:r>
        <w:rPr>
          <w:rFonts w:cs="Arial"/>
          <w:szCs w:val="24"/>
        </w:rPr>
        <w:t xml:space="preserve"> </w:t>
      </w:r>
      <w:r w:rsidRPr="00445384">
        <w:rPr>
          <w:rFonts w:cs="Arial"/>
          <w:szCs w:val="24"/>
        </w:rPr>
        <w:t>Molloy MP, Packer NH</w:t>
      </w:r>
      <w:r>
        <w:rPr>
          <w:rFonts w:cs="Arial"/>
          <w:szCs w:val="24"/>
        </w:rPr>
        <w:t>,</w:t>
      </w:r>
      <w:r w:rsidRPr="00445384">
        <w:rPr>
          <w:rFonts w:cs="Arial"/>
          <w:szCs w:val="24"/>
        </w:rPr>
        <w:t xml:space="preserve"> Paulsen IT</w:t>
      </w:r>
      <w:r>
        <w:rPr>
          <w:rFonts w:cs="Arial"/>
          <w:szCs w:val="24"/>
        </w:rPr>
        <w:t xml:space="preserve">. </w:t>
      </w:r>
      <w:r w:rsidRPr="00445384">
        <w:rPr>
          <w:rFonts w:cs="Arial"/>
          <w:szCs w:val="24"/>
        </w:rPr>
        <w:t xml:space="preserve">Fiber </w:t>
      </w:r>
      <w:r>
        <w:rPr>
          <w:rFonts w:cs="Arial"/>
          <w:szCs w:val="24"/>
        </w:rPr>
        <w:t>s</w:t>
      </w:r>
      <w:r w:rsidRPr="00445384">
        <w:rPr>
          <w:rFonts w:cs="Arial"/>
          <w:szCs w:val="24"/>
        </w:rPr>
        <w:t>upplements</w:t>
      </w:r>
      <w:r>
        <w:rPr>
          <w:rFonts w:cs="Arial"/>
          <w:szCs w:val="24"/>
        </w:rPr>
        <w:t xml:space="preserve"> d</w:t>
      </w:r>
      <w:r w:rsidRPr="00445384">
        <w:rPr>
          <w:rFonts w:cs="Arial"/>
          <w:szCs w:val="24"/>
        </w:rPr>
        <w:t>erived</w:t>
      </w:r>
      <w:r>
        <w:rPr>
          <w:rFonts w:cs="Arial"/>
          <w:szCs w:val="24"/>
        </w:rPr>
        <w:t xml:space="preserve"> f</w:t>
      </w:r>
      <w:r w:rsidRPr="00445384">
        <w:rPr>
          <w:rFonts w:cs="Arial"/>
          <w:szCs w:val="24"/>
        </w:rPr>
        <w:t xml:space="preserve">rom </w:t>
      </w:r>
      <w:r>
        <w:rPr>
          <w:rFonts w:cs="Arial"/>
          <w:szCs w:val="24"/>
        </w:rPr>
        <w:t>s</w:t>
      </w:r>
      <w:r w:rsidRPr="00445384">
        <w:rPr>
          <w:rFonts w:cs="Arial"/>
          <w:szCs w:val="24"/>
        </w:rPr>
        <w:t xml:space="preserve">ugarcane </w:t>
      </w:r>
      <w:r>
        <w:rPr>
          <w:rFonts w:cs="Arial"/>
          <w:szCs w:val="24"/>
        </w:rPr>
        <w:t>s</w:t>
      </w:r>
      <w:r w:rsidRPr="00445384">
        <w:rPr>
          <w:rFonts w:cs="Arial"/>
          <w:szCs w:val="24"/>
        </w:rPr>
        <w:t xml:space="preserve">tem, </w:t>
      </w:r>
      <w:r>
        <w:rPr>
          <w:rFonts w:cs="Arial"/>
          <w:szCs w:val="24"/>
        </w:rPr>
        <w:t>w</w:t>
      </w:r>
      <w:r w:rsidRPr="00445384">
        <w:rPr>
          <w:rFonts w:cs="Arial"/>
          <w:szCs w:val="24"/>
        </w:rPr>
        <w:t xml:space="preserve">heat </w:t>
      </w:r>
      <w:r>
        <w:rPr>
          <w:rFonts w:cs="Arial"/>
          <w:szCs w:val="24"/>
        </w:rPr>
        <w:t>d</w:t>
      </w:r>
      <w:r w:rsidRPr="00445384">
        <w:rPr>
          <w:rFonts w:cs="Arial"/>
          <w:szCs w:val="24"/>
        </w:rPr>
        <w:t>extrin</w:t>
      </w:r>
      <w:r>
        <w:rPr>
          <w:rFonts w:cs="Arial"/>
          <w:szCs w:val="24"/>
        </w:rPr>
        <w:t xml:space="preserve"> </w:t>
      </w:r>
      <w:r w:rsidRPr="00445384">
        <w:rPr>
          <w:rFonts w:cs="Arial"/>
          <w:szCs w:val="24"/>
        </w:rPr>
        <w:t xml:space="preserve">and Psyllium </w:t>
      </w:r>
      <w:r>
        <w:rPr>
          <w:rFonts w:cs="Arial"/>
          <w:szCs w:val="24"/>
        </w:rPr>
        <w:t>h</w:t>
      </w:r>
      <w:r w:rsidRPr="00445384">
        <w:rPr>
          <w:rFonts w:cs="Arial"/>
          <w:szCs w:val="24"/>
        </w:rPr>
        <w:t xml:space="preserve">usk </w:t>
      </w:r>
      <w:r>
        <w:rPr>
          <w:rFonts w:cs="Arial"/>
          <w:szCs w:val="24"/>
        </w:rPr>
        <w:t>h</w:t>
      </w:r>
      <w:r w:rsidRPr="00445384">
        <w:rPr>
          <w:rFonts w:cs="Arial"/>
          <w:szCs w:val="24"/>
        </w:rPr>
        <w:t xml:space="preserve">ave </w:t>
      </w:r>
      <w:r>
        <w:rPr>
          <w:rFonts w:cs="Arial"/>
          <w:szCs w:val="24"/>
        </w:rPr>
        <w:t>d</w:t>
      </w:r>
      <w:r w:rsidRPr="00445384">
        <w:rPr>
          <w:rFonts w:cs="Arial"/>
          <w:szCs w:val="24"/>
        </w:rPr>
        <w:t>ifferent</w:t>
      </w:r>
      <w:r>
        <w:rPr>
          <w:rFonts w:cs="Arial"/>
          <w:szCs w:val="24"/>
        </w:rPr>
        <w:t xml:space="preserve"> i</w:t>
      </w:r>
      <w:r w:rsidRPr="00445384">
        <w:rPr>
          <w:rFonts w:cs="Arial"/>
          <w:szCs w:val="24"/>
        </w:rPr>
        <w:t xml:space="preserve">n </w:t>
      </w:r>
      <w:r>
        <w:rPr>
          <w:rFonts w:cs="Arial"/>
          <w:szCs w:val="24"/>
        </w:rPr>
        <w:t>v</w:t>
      </w:r>
      <w:r w:rsidRPr="00445384">
        <w:rPr>
          <w:rFonts w:cs="Arial"/>
          <w:szCs w:val="24"/>
        </w:rPr>
        <w:t xml:space="preserve">itro </w:t>
      </w:r>
      <w:r>
        <w:rPr>
          <w:rFonts w:cs="Arial"/>
          <w:szCs w:val="24"/>
        </w:rPr>
        <w:t>e</w:t>
      </w:r>
      <w:r w:rsidRPr="00445384">
        <w:rPr>
          <w:rFonts w:cs="Arial"/>
          <w:szCs w:val="24"/>
        </w:rPr>
        <w:t xml:space="preserve">ffects on the </w:t>
      </w:r>
      <w:r>
        <w:rPr>
          <w:rFonts w:cs="Arial"/>
          <w:szCs w:val="24"/>
        </w:rPr>
        <w:t>h</w:t>
      </w:r>
      <w:r w:rsidRPr="00445384">
        <w:rPr>
          <w:rFonts w:cs="Arial"/>
          <w:szCs w:val="24"/>
        </w:rPr>
        <w:t xml:space="preserve">uman </w:t>
      </w:r>
      <w:r>
        <w:rPr>
          <w:rFonts w:cs="Arial"/>
          <w:szCs w:val="24"/>
        </w:rPr>
        <w:t>g</w:t>
      </w:r>
      <w:r w:rsidRPr="00445384">
        <w:rPr>
          <w:rFonts w:cs="Arial"/>
          <w:szCs w:val="24"/>
        </w:rPr>
        <w:t>ut</w:t>
      </w:r>
      <w:r>
        <w:rPr>
          <w:rFonts w:cs="Arial"/>
          <w:szCs w:val="24"/>
        </w:rPr>
        <w:t xml:space="preserve"> m</w:t>
      </w:r>
      <w:r w:rsidRPr="00445384">
        <w:rPr>
          <w:rFonts w:cs="Arial"/>
          <w:szCs w:val="24"/>
        </w:rPr>
        <w:t>icrobiota</w:t>
      </w:r>
      <w:r>
        <w:rPr>
          <w:rFonts w:cs="Arial"/>
          <w:szCs w:val="24"/>
        </w:rPr>
        <w:t>.</w:t>
      </w:r>
      <w:r w:rsidRPr="00445384">
        <w:rPr>
          <w:rFonts w:cs="Arial"/>
          <w:szCs w:val="24"/>
        </w:rPr>
        <w:t xml:space="preserve"> Front</w:t>
      </w:r>
      <w:r>
        <w:rPr>
          <w:rFonts w:cs="Arial"/>
          <w:szCs w:val="24"/>
        </w:rPr>
        <w:t xml:space="preserve">iers in </w:t>
      </w:r>
      <w:r w:rsidRPr="00445384">
        <w:rPr>
          <w:rFonts w:cs="Arial"/>
          <w:szCs w:val="24"/>
        </w:rPr>
        <w:t>Microbiol</w:t>
      </w:r>
      <w:r>
        <w:rPr>
          <w:rFonts w:cs="Arial"/>
          <w:szCs w:val="24"/>
        </w:rPr>
        <w:t xml:space="preserve">ogy </w:t>
      </w:r>
      <w:r w:rsidRPr="00445384">
        <w:rPr>
          <w:rFonts w:cs="Arial"/>
          <w:szCs w:val="24"/>
        </w:rPr>
        <w:t xml:space="preserve"> 2018 </w:t>
      </w:r>
      <w:r w:rsidRPr="00FC165B">
        <w:rPr>
          <w:rFonts w:cs="Arial"/>
          <w:b/>
          <w:bCs/>
          <w:szCs w:val="24"/>
        </w:rPr>
        <w:t>9</w:t>
      </w:r>
      <w:r w:rsidRPr="00445384">
        <w:rPr>
          <w:rFonts w:cs="Arial"/>
          <w:szCs w:val="24"/>
        </w:rPr>
        <w:t>:1618.</w:t>
      </w:r>
      <w:r>
        <w:rPr>
          <w:rFonts w:cs="Arial"/>
          <w:szCs w:val="24"/>
        </w:rPr>
        <w:t xml:space="preserve"> </w:t>
      </w:r>
      <w:r w:rsidRPr="00445384">
        <w:rPr>
          <w:rFonts w:cs="Arial"/>
          <w:szCs w:val="24"/>
        </w:rPr>
        <w:t>doi: 10.3389/fmicb.2018.01618</w:t>
      </w:r>
    </w:p>
    <w:p w:rsidR="00D8136A" w:rsidRPr="00F94FA9" w:rsidRDefault="00D8136A" w:rsidP="00540FEA">
      <w:pPr>
        <w:pStyle w:val="ListParagraph"/>
        <w:spacing w:before="240"/>
        <w:ind w:left="0"/>
        <w:rPr>
          <w:szCs w:val="24"/>
        </w:rPr>
      </w:pPr>
    </w:p>
    <w:p w:rsidR="00D8136A" w:rsidRPr="00F94FA9" w:rsidRDefault="00D8136A" w:rsidP="009149E2">
      <w:pPr>
        <w:pStyle w:val="ListParagraph"/>
        <w:spacing w:before="240"/>
        <w:ind w:left="0"/>
      </w:pPr>
      <w:r w:rsidRPr="00F94FA9">
        <w:t xml:space="preserve">Gao B, Bian X, Mahbub R, Lu K. Sex-specific effects of organophosphate diazinon on the gut microbiome and its metabolic functions. Environmental Health Perspectives </w:t>
      </w:r>
      <w:r w:rsidR="00354F79">
        <w:t xml:space="preserve">2017 </w:t>
      </w:r>
      <w:r w:rsidRPr="00F94FA9">
        <w:rPr>
          <w:b/>
        </w:rPr>
        <w:t>125</w:t>
      </w:r>
      <w:r w:rsidRPr="00F94FA9">
        <w:t>(2): 198 – 206</w:t>
      </w:r>
      <w:r w:rsidR="00F3088C" w:rsidRPr="00F94FA9">
        <w:t>.</w:t>
      </w:r>
    </w:p>
    <w:p w:rsidR="00D8136A" w:rsidRPr="00F94FA9" w:rsidRDefault="00D8136A" w:rsidP="009149E2">
      <w:pPr>
        <w:pStyle w:val="ListParagraph"/>
        <w:spacing w:before="240"/>
        <w:ind w:left="0"/>
      </w:pPr>
    </w:p>
    <w:p w:rsidR="00D8136A" w:rsidRPr="00F94FA9" w:rsidRDefault="00D8136A" w:rsidP="00812453">
      <w:pPr>
        <w:pStyle w:val="ListParagraph"/>
        <w:spacing w:before="240"/>
        <w:ind w:left="0"/>
      </w:pPr>
      <w:r w:rsidRPr="00F94FA9">
        <w:t xml:space="preserve">Gao B, Chi L, Mahbub R, Bian X, Tu P, Ru H, Lu K. Multi-omics reveals that lead exposure disturbs gut microbiome development, key metabolites and metabolic pathways. Chemical Research in Toxicology 2017 </w:t>
      </w:r>
      <w:r w:rsidRPr="00F94FA9">
        <w:rPr>
          <w:b/>
        </w:rPr>
        <w:t>30</w:t>
      </w:r>
      <w:r w:rsidRPr="00F94FA9">
        <w:t>(4): 996 – 1005.</w:t>
      </w:r>
    </w:p>
    <w:p w:rsidR="00D8136A" w:rsidRPr="00F94FA9" w:rsidRDefault="00D8136A" w:rsidP="00812453">
      <w:pPr>
        <w:pStyle w:val="ListParagraph"/>
        <w:spacing w:before="240"/>
        <w:ind w:left="0"/>
      </w:pPr>
    </w:p>
    <w:p w:rsidR="00D8136A" w:rsidRPr="00F94FA9" w:rsidRDefault="00D8136A" w:rsidP="009149E2">
      <w:pPr>
        <w:pStyle w:val="ListParagraph"/>
        <w:ind w:left="0"/>
      </w:pPr>
      <w:r w:rsidRPr="00F94FA9">
        <w:t xml:space="preserve">Gao B, Chi L, Tu P, Bian X, Thomas J, Ru H, Lu K. The organophosphate malathion disrupts gut microbiome development and the quorum-sensing system. Toxicology Letters 2018 </w:t>
      </w:r>
      <w:r w:rsidRPr="00F94FA9">
        <w:rPr>
          <w:b/>
        </w:rPr>
        <w:t>283</w:t>
      </w:r>
      <w:r w:rsidRPr="00F94FA9">
        <w:t>: 52 – 57.</w:t>
      </w:r>
    </w:p>
    <w:p w:rsidR="00D8136A" w:rsidRDefault="00D8136A" w:rsidP="009149E2">
      <w:pPr>
        <w:spacing w:before="240"/>
        <w:jc w:val="both"/>
      </w:pPr>
      <w:r w:rsidRPr="00F94FA9">
        <w:t xml:space="preserve">Gao B, Chi L, Tu P, Gao N, Lu K. The carbamate aldicarb altered the gut microbiome, metabolome and lipidome of C57 BL/6 mice. Chemical Research in Toxicology 2019 </w:t>
      </w:r>
      <w:r w:rsidRPr="00F94FA9">
        <w:rPr>
          <w:b/>
        </w:rPr>
        <w:t>32</w:t>
      </w:r>
      <w:r w:rsidRPr="00F94FA9">
        <w:t xml:space="preserve">(1): 67 </w:t>
      </w:r>
      <w:r w:rsidR="00F3088C" w:rsidRPr="00F94FA9">
        <w:t>–</w:t>
      </w:r>
      <w:r w:rsidRPr="00F94FA9">
        <w:t xml:space="preserve"> 79</w:t>
      </w:r>
      <w:r w:rsidR="00F3088C" w:rsidRPr="00F94FA9">
        <w:t>.</w:t>
      </w:r>
    </w:p>
    <w:p w:rsidR="00162CF3" w:rsidRPr="00162CF3" w:rsidRDefault="00162CF3" w:rsidP="009149E2">
      <w:pPr>
        <w:spacing w:before="240"/>
        <w:jc w:val="both"/>
      </w:pPr>
      <w:r>
        <w:t xml:space="preserve">Garmaeva S, Sinha T, Kurilshikov A, Fu J, Wijmenga C, Zhemakova A. Studying the gut virome in the metagenomic era: challenges and perspectives. BMC Biology 2019 </w:t>
      </w:r>
      <w:r>
        <w:rPr>
          <w:b/>
          <w:bCs/>
        </w:rPr>
        <w:t>17</w:t>
      </w:r>
      <w:r w:rsidR="00A53B42">
        <w:t xml:space="preserve">: 84 </w:t>
      </w:r>
      <w:r w:rsidR="00615213">
        <w:t>–</w:t>
      </w:r>
      <w:r w:rsidR="00A53B42">
        <w:t xml:space="preserve"> 97</w:t>
      </w:r>
      <w:r w:rsidR="00615213">
        <w:t>.</w:t>
      </w:r>
    </w:p>
    <w:p w:rsidR="00D8136A" w:rsidRPr="00F94FA9" w:rsidRDefault="00D8136A" w:rsidP="00812453">
      <w:pPr>
        <w:pStyle w:val="ListParagraph"/>
        <w:spacing w:before="240"/>
        <w:ind w:left="0"/>
      </w:pPr>
      <w:r w:rsidRPr="00F94FA9">
        <w:t xml:space="preserve">Gaulke CA, Rolshoven J, Wong CP, Hudson LG, Ho E, Sharpton TJ. Marginal zinc deficiency and environmentally relevant concentrations of arsenic elicit combined effects on the gut microbiome. mSphere 2018 </w:t>
      </w:r>
      <w:r w:rsidRPr="00F94FA9">
        <w:rPr>
          <w:b/>
        </w:rPr>
        <w:t>3</w:t>
      </w:r>
      <w:r w:rsidRPr="00F94FA9">
        <w:t>(6):</w:t>
      </w:r>
      <w:r w:rsidR="000F2630" w:rsidRPr="00F94FA9">
        <w:t xml:space="preserve"> </w:t>
      </w:r>
      <w:r w:rsidRPr="00F94FA9">
        <w:t>e00521-18 1 – 13</w:t>
      </w:r>
      <w:r w:rsidR="00615213">
        <w:t>.</w:t>
      </w:r>
    </w:p>
    <w:p w:rsidR="00D8136A" w:rsidRPr="00F94FA9" w:rsidRDefault="00D8136A" w:rsidP="00812453">
      <w:pPr>
        <w:pStyle w:val="ListParagraph"/>
        <w:spacing w:before="240"/>
        <w:ind w:left="0"/>
      </w:pPr>
    </w:p>
    <w:p w:rsidR="00D8136A" w:rsidRPr="00F94FA9" w:rsidRDefault="00D8136A" w:rsidP="00DD19CC">
      <w:pPr>
        <w:pStyle w:val="ListParagraph"/>
        <w:spacing w:before="240"/>
        <w:ind w:left="0"/>
      </w:pPr>
      <w:r w:rsidRPr="00F94FA9">
        <w:t xml:space="preserve">Gratz SW, Currie V, Richardson AL, Duncan G, Holtrop G, Fraquarson F, louis P, Pinton P, Oswald IP. Porcine small and large intestinal microbiota rapidly hydrolyse the masked mycotoxin </w:t>
      </w:r>
      <w:bookmarkStart w:id="9" w:name="_Hlk15381457"/>
      <w:r w:rsidRPr="00F94FA9">
        <w:t xml:space="preserve">deoxynivalenol-3-glucoside </w:t>
      </w:r>
      <w:bookmarkEnd w:id="9"/>
      <w:r w:rsidRPr="00F94FA9">
        <w:t xml:space="preserve">and release deoxynivalenol in spiked batch cultures </w:t>
      </w:r>
      <w:r w:rsidRPr="00F94FA9">
        <w:rPr>
          <w:i/>
        </w:rPr>
        <w:t>in vitro</w:t>
      </w:r>
      <w:r w:rsidRPr="00F94FA9">
        <w:t xml:space="preserve">. Applied and Environmental Microbiology 2018  </w:t>
      </w:r>
      <w:r w:rsidRPr="00F94FA9">
        <w:rPr>
          <w:b/>
        </w:rPr>
        <w:t>84</w:t>
      </w:r>
      <w:r w:rsidRPr="00F94FA9">
        <w:t>(2) e02106-17</w:t>
      </w:r>
      <w:r w:rsidR="00F3088C" w:rsidRPr="00F94FA9">
        <w:t>.</w:t>
      </w:r>
    </w:p>
    <w:p w:rsidR="00F55126" w:rsidRDefault="00F55126" w:rsidP="00DC0CF2">
      <w:pPr>
        <w:spacing w:before="240"/>
        <w:rPr>
          <w:rStyle w:val="SubtleReference"/>
          <w:smallCaps w:val="0"/>
          <w:color w:val="auto"/>
        </w:rPr>
      </w:pPr>
      <w:r w:rsidRPr="00F94FA9">
        <w:rPr>
          <w:rStyle w:val="SubtleReference"/>
          <w:smallCaps w:val="0"/>
          <w:color w:val="auto"/>
        </w:rPr>
        <w:t xml:space="preserve">Groh KJ, Geneke B, Muncke J. Food contact materials and gut health: implications fortoxicity assessment and relevance of high molecular weight migrants. Food and Chemical Toxicology 2017 </w:t>
      </w:r>
      <w:r w:rsidRPr="00F94FA9">
        <w:rPr>
          <w:rStyle w:val="SubtleReference"/>
          <w:b/>
          <w:smallCaps w:val="0"/>
          <w:color w:val="auto"/>
        </w:rPr>
        <w:t>109</w:t>
      </w:r>
      <w:r w:rsidRPr="00F94FA9">
        <w:rPr>
          <w:rStyle w:val="SubtleReference"/>
          <w:smallCaps w:val="0"/>
          <w:color w:val="auto"/>
        </w:rPr>
        <w:t>: 1 – 18.</w:t>
      </w:r>
    </w:p>
    <w:p w:rsidR="00670A37" w:rsidRPr="00670A37" w:rsidRDefault="00670A37" w:rsidP="00DC0CF2">
      <w:pPr>
        <w:spacing w:before="240"/>
        <w:rPr>
          <w:rStyle w:val="SubtleReference"/>
          <w:smallCaps w:val="0"/>
          <w:color w:val="auto"/>
        </w:rPr>
      </w:pPr>
      <w:r>
        <w:rPr>
          <w:rStyle w:val="SubtleReference"/>
          <w:smallCaps w:val="0"/>
          <w:color w:val="auto"/>
        </w:rPr>
        <w:t xml:space="preserve">Gu Y, Zhou G, Qin X, Huang S, Wang B, Cao H. The potential role of gut mycobiome in irritable bowel syndrome. Frontiers in Microbiology 2019 </w:t>
      </w:r>
      <w:r>
        <w:rPr>
          <w:rStyle w:val="SubtleReference"/>
          <w:b/>
          <w:bCs/>
          <w:smallCaps w:val="0"/>
          <w:color w:val="auto"/>
        </w:rPr>
        <w:t>10</w:t>
      </w:r>
      <w:r>
        <w:rPr>
          <w:rStyle w:val="SubtleReference"/>
          <w:smallCaps w:val="0"/>
          <w:color w:val="auto"/>
        </w:rPr>
        <w:t>: doi:10.3389/fmicb.2019.01894.</w:t>
      </w:r>
    </w:p>
    <w:p w:rsidR="00D8136A" w:rsidRPr="00F94FA9" w:rsidRDefault="00D8136A" w:rsidP="00DD19CC">
      <w:pPr>
        <w:pStyle w:val="ListParagraph"/>
        <w:spacing w:before="240"/>
        <w:ind w:left="0"/>
      </w:pPr>
      <w:r w:rsidRPr="00F94FA9">
        <w:t xml:space="preserve">Guo G, Yumvihoze E, Poulain AJ, Chan HM. 2018 The Journal of Toxicological Sciences </w:t>
      </w:r>
      <w:r w:rsidRPr="00F94FA9">
        <w:rPr>
          <w:b/>
        </w:rPr>
        <w:t>43</w:t>
      </w:r>
      <w:r w:rsidRPr="00F94FA9">
        <w:t>(12): 717 – 725.</w:t>
      </w:r>
    </w:p>
    <w:p w:rsidR="00D8136A" w:rsidRPr="00F94FA9" w:rsidRDefault="00D8136A" w:rsidP="00DD19CC">
      <w:pPr>
        <w:pStyle w:val="ListParagraph"/>
        <w:spacing w:before="240"/>
        <w:ind w:left="0"/>
      </w:pPr>
    </w:p>
    <w:p w:rsidR="00D8136A" w:rsidRDefault="00D8136A" w:rsidP="00D8136A">
      <w:pPr>
        <w:pStyle w:val="ListParagraph"/>
        <w:ind w:left="0"/>
      </w:pPr>
      <w:r w:rsidRPr="00F94FA9">
        <w:t xml:space="preserve">Guo X, Liu S, Wang Z, Zhang X, Li M, Wu B. Metagenomic profiles and antibiotic resistance genes in gut microbiota of mice exposed to arsenic and iron. Chemosphere 2014 </w:t>
      </w:r>
      <w:r w:rsidRPr="00F94FA9">
        <w:rPr>
          <w:b/>
        </w:rPr>
        <w:t>112</w:t>
      </w:r>
      <w:r w:rsidRPr="00F94FA9">
        <w:t>: 1 – 8.</w:t>
      </w:r>
    </w:p>
    <w:p w:rsidR="00B2588B" w:rsidRPr="00B2588B" w:rsidRDefault="00E854E8" w:rsidP="00B2588B">
      <w:pPr>
        <w:shd w:val="clear" w:color="auto" w:fill="FFFFFF"/>
        <w:rPr>
          <w:rFonts w:cs="Arial"/>
          <w:color w:val="5B616B"/>
        </w:rPr>
      </w:pPr>
      <w:r w:rsidRPr="00B2588B">
        <w:rPr>
          <w:rStyle w:val="authors-list-item"/>
          <w:rFonts w:cs="Arial"/>
          <w:color w:val="5B616B"/>
          <w:sz w:val="22"/>
        </w:rPr>
        <w:t>Hallen-Adams</w:t>
      </w:r>
      <w:r w:rsidR="00B2588B" w:rsidRPr="00B2588B">
        <w:rPr>
          <w:rStyle w:val="authors-list-item"/>
          <w:rFonts w:cs="Arial"/>
          <w:color w:val="5B616B"/>
          <w:sz w:val="22"/>
        </w:rPr>
        <w:t xml:space="preserve"> HE</w:t>
      </w:r>
      <w:r w:rsidRPr="00B2588B">
        <w:rPr>
          <w:rStyle w:val="author-sup-separator"/>
          <w:rFonts w:cs="Arial"/>
          <w:color w:val="5B616B"/>
          <w:sz w:val="22"/>
          <w:vertAlign w:val="superscript"/>
        </w:rPr>
        <w:t> </w:t>
      </w:r>
      <w:r w:rsidRPr="00B2588B">
        <w:rPr>
          <w:rStyle w:val="comma"/>
          <w:rFonts w:cs="Arial"/>
          <w:color w:val="5B616B"/>
          <w:sz w:val="22"/>
        </w:rPr>
        <w:t>, </w:t>
      </w:r>
      <w:r w:rsidRPr="00B2588B">
        <w:rPr>
          <w:rStyle w:val="authors-list-item"/>
          <w:rFonts w:cs="Arial"/>
          <w:color w:val="5B616B"/>
          <w:sz w:val="22"/>
        </w:rPr>
        <w:t xml:space="preserve"> Suhr</w:t>
      </w:r>
      <w:r w:rsidR="00B2588B" w:rsidRPr="00B2588B">
        <w:rPr>
          <w:rStyle w:val="authors-list-item"/>
          <w:rFonts w:cs="Arial"/>
          <w:color w:val="5B616B"/>
          <w:sz w:val="22"/>
        </w:rPr>
        <w:t xml:space="preserve"> MJ</w:t>
      </w:r>
      <w:r w:rsidRPr="00B2588B">
        <w:rPr>
          <w:rStyle w:val="author-sup-separator"/>
          <w:rFonts w:cs="Arial"/>
          <w:color w:val="5B616B"/>
          <w:sz w:val="22"/>
          <w:vertAlign w:val="superscript"/>
        </w:rPr>
        <w:t> </w:t>
      </w:r>
      <w:r w:rsidR="00B2588B">
        <w:rPr>
          <w:rStyle w:val="author-sup-separator"/>
          <w:rFonts w:cs="Arial"/>
          <w:color w:val="5B616B"/>
          <w:sz w:val="22"/>
          <w:vertAlign w:val="superscript"/>
        </w:rPr>
        <w:t xml:space="preserve"> </w:t>
      </w:r>
      <w:r w:rsidR="00B2588B" w:rsidRPr="00B2588B">
        <w:rPr>
          <w:rStyle w:val="author-sup-separator"/>
          <w:rFonts w:cs="Arial"/>
          <w:color w:val="5B616B"/>
          <w:sz w:val="22"/>
          <w:vertAlign w:val="superscript"/>
        </w:rPr>
        <w:t xml:space="preserve"> </w:t>
      </w:r>
      <w:r w:rsidR="00B2588B" w:rsidRPr="00B2588B">
        <w:rPr>
          <w:rFonts w:cs="Arial"/>
          <w:color w:val="212121"/>
          <w:sz w:val="22"/>
        </w:rPr>
        <w:t>Fungi in the Healthy Human Gastrointestinal Tract</w:t>
      </w:r>
      <w:r w:rsidR="00B2588B" w:rsidRPr="00B2588B">
        <w:rPr>
          <w:rFonts w:cs="Arial"/>
          <w:color w:val="5B616B"/>
        </w:rPr>
        <w:t xml:space="preserve"> Virulence</w:t>
      </w:r>
      <w:r w:rsidR="00B2588B" w:rsidRPr="00B2588B">
        <w:rPr>
          <w:rStyle w:val="comma"/>
          <w:rFonts w:cs="Arial"/>
          <w:color w:val="5B616B"/>
        </w:rPr>
        <w:t> </w:t>
      </w:r>
      <w:r w:rsidR="00B2588B" w:rsidRPr="00B2588B">
        <w:rPr>
          <w:rStyle w:val="publication-date"/>
          <w:rFonts w:cs="Arial"/>
          <w:color w:val="5B616B"/>
          <w:shd w:val="clear" w:color="auto" w:fill="FFFFFF"/>
        </w:rPr>
        <w:t xml:space="preserve">2017 </w:t>
      </w:r>
      <w:r w:rsidR="00B2588B" w:rsidRPr="00B2588B">
        <w:rPr>
          <w:rStyle w:val="volume-issue-pages"/>
          <w:rFonts w:cs="Arial"/>
          <w:b/>
          <w:bCs/>
          <w:color w:val="5B616B"/>
        </w:rPr>
        <w:t>8</w:t>
      </w:r>
      <w:r w:rsidR="00B2588B" w:rsidRPr="00B2588B">
        <w:rPr>
          <w:rStyle w:val="volume-issue-pages"/>
          <w:rFonts w:cs="Arial"/>
          <w:color w:val="5B616B"/>
        </w:rPr>
        <w:t>(3)</w:t>
      </w:r>
      <w:r w:rsidR="00B2588B">
        <w:rPr>
          <w:rStyle w:val="volume-issue-pages"/>
          <w:rFonts w:cs="Arial"/>
          <w:color w:val="5B616B"/>
        </w:rPr>
        <w:t>:</w:t>
      </w:r>
      <w:r w:rsidR="00B2588B" w:rsidRPr="00B2588B">
        <w:rPr>
          <w:rStyle w:val="volume-issue-pages"/>
          <w:rFonts w:cs="Arial"/>
          <w:color w:val="5B616B"/>
        </w:rPr>
        <w:t xml:space="preserve"> 352-358</w:t>
      </w:r>
    </w:p>
    <w:p w:rsidR="00D420D2" w:rsidRDefault="00D420D2" w:rsidP="00D8136A">
      <w:pPr>
        <w:pStyle w:val="ListParagraph"/>
        <w:ind w:left="0"/>
      </w:pPr>
      <w:r w:rsidRPr="00F94FA9">
        <w:t xml:space="preserve">Han H, Xiao H, Zhang K, Lu Z. Impact of 4-epi-oxytetracycline on the gut microbiota and blood metabolomics of Wistar rats. Nature Scientific Reports 2016 </w:t>
      </w:r>
      <w:r w:rsidRPr="00F94FA9">
        <w:rPr>
          <w:b/>
        </w:rPr>
        <w:t>6</w:t>
      </w:r>
      <w:r w:rsidRPr="00F94FA9">
        <w:t>L 23141 doi: 10.1038/srep23141</w:t>
      </w:r>
      <w:r w:rsidR="00615213">
        <w:t>.</w:t>
      </w:r>
    </w:p>
    <w:p w:rsidR="00A30D47" w:rsidRDefault="00A30D47" w:rsidP="00D8136A">
      <w:pPr>
        <w:pStyle w:val="ListParagraph"/>
        <w:ind w:left="0"/>
      </w:pPr>
    </w:p>
    <w:p w:rsidR="00D8136A" w:rsidRPr="00F94FA9" w:rsidRDefault="00D8136A" w:rsidP="00D910FC">
      <w:pPr>
        <w:spacing w:before="240"/>
      </w:pPr>
      <w:r w:rsidRPr="00F94FA9">
        <w:t xml:space="preserve">He X, Zheng N, He J, Liu C, Feng J, Jin W, Li H. Gut microbiota modulation attenuated the hypolipidemic effect of simvastatin in high-fat/cholesterol-diet fed mice. Journal of Proteome Research 2017 </w:t>
      </w:r>
      <w:r w:rsidRPr="00F94FA9">
        <w:rPr>
          <w:b/>
        </w:rPr>
        <w:t>16</w:t>
      </w:r>
      <w:r w:rsidRPr="00F94FA9">
        <w:t>(5): 1900 – 1910.</w:t>
      </w:r>
    </w:p>
    <w:p w:rsidR="007F5152" w:rsidRPr="00F94FA9" w:rsidRDefault="007F5152" w:rsidP="00D910FC">
      <w:pPr>
        <w:spacing w:before="240"/>
        <w:rPr>
          <w:rFonts w:cs="Arial"/>
          <w:shd w:val="clear" w:color="auto" w:fill="FFFFFF"/>
        </w:rPr>
      </w:pPr>
      <w:r w:rsidRPr="00F94FA9">
        <w:t>Hiergeist A, Gl</w:t>
      </w:r>
      <w:r w:rsidRPr="00F94FA9">
        <w:rPr>
          <w:rFonts w:cs="Arial"/>
        </w:rPr>
        <w:t>ä</w:t>
      </w:r>
      <w:r w:rsidRPr="00F94FA9">
        <w:t xml:space="preserve">sner J, Reischl U, Gessner A. Analyses of intestinal microbiota: culture versus sequencing. </w:t>
      </w:r>
      <w:r w:rsidRPr="00F94FA9">
        <w:rPr>
          <w:rFonts w:cs="Arial"/>
          <w:shd w:val="clear" w:color="auto" w:fill="FFFFFF"/>
        </w:rPr>
        <w:t xml:space="preserve">Institute for Laboratory Animal Research Journal 2015 </w:t>
      </w:r>
      <w:r w:rsidRPr="00F94FA9">
        <w:rPr>
          <w:rFonts w:cs="Arial"/>
          <w:b/>
          <w:shd w:val="clear" w:color="auto" w:fill="FFFFFF"/>
        </w:rPr>
        <w:t>56</w:t>
      </w:r>
      <w:r w:rsidRPr="00F94FA9">
        <w:rPr>
          <w:rFonts w:cs="Arial"/>
          <w:shd w:val="clear" w:color="auto" w:fill="FFFFFF"/>
        </w:rPr>
        <w:t xml:space="preserve">(2): 228 </w:t>
      </w:r>
      <w:r w:rsidR="00B42EF3" w:rsidRPr="00F94FA9">
        <w:rPr>
          <w:rFonts w:cs="Arial"/>
          <w:shd w:val="clear" w:color="auto" w:fill="FFFFFF"/>
        </w:rPr>
        <w:t>–</w:t>
      </w:r>
      <w:r w:rsidRPr="00F94FA9">
        <w:rPr>
          <w:rFonts w:cs="Arial"/>
          <w:shd w:val="clear" w:color="auto" w:fill="FFFFFF"/>
        </w:rPr>
        <w:t xml:space="preserve"> 240</w:t>
      </w:r>
      <w:r w:rsidR="00B42EF3" w:rsidRPr="00F94FA9">
        <w:rPr>
          <w:rFonts w:cs="Arial"/>
          <w:shd w:val="clear" w:color="auto" w:fill="FFFFFF"/>
        </w:rPr>
        <w:t>.</w:t>
      </w:r>
    </w:p>
    <w:p w:rsidR="00B42EF3" w:rsidRDefault="00B42EF3" w:rsidP="00D910FC">
      <w:pPr>
        <w:spacing w:before="240"/>
      </w:pPr>
      <w:r w:rsidRPr="00F94FA9">
        <w:t xml:space="preserve">Hill-Burns EM, Debellius JW, Morton JT, Wissermann Wt, Lewis MR, Wallen ZD, Peddada SD, Factor SA, Molho E, Zabetian Cp, Knight R, Payami H. Parkinson’s disease and PD medications have distinct signatures of the gut microbiome. Movement Disorders 2017 </w:t>
      </w:r>
      <w:r w:rsidRPr="00F94FA9">
        <w:rPr>
          <w:b/>
        </w:rPr>
        <w:t>32</w:t>
      </w:r>
      <w:r w:rsidRPr="00F94FA9">
        <w:t>(5): 739 – 749.</w:t>
      </w:r>
    </w:p>
    <w:p w:rsidR="00F829ED" w:rsidRPr="00F829ED" w:rsidRDefault="00F829ED" w:rsidP="00D910FC">
      <w:pPr>
        <w:spacing w:before="240"/>
      </w:pPr>
      <w:r>
        <w:t>Hoffmann C, Dollive S, Grunberg S, Chen J, li H, Wu GD, Lewis JD, Bushman FD</w:t>
      </w:r>
      <w:r w:rsidR="00510228">
        <w:t xml:space="preserve"> </w:t>
      </w:r>
      <w:r w:rsidR="00510228" w:rsidRPr="00510228">
        <w:t xml:space="preserve">Archaea and </w:t>
      </w:r>
      <w:r w:rsidR="00510228">
        <w:t>f</w:t>
      </w:r>
      <w:r w:rsidR="00510228" w:rsidRPr="00510228">
        <w:t xml:space="preserve">ungi of the </w:t>
      </w:r>
      <w:r w:rsidR="00510228">
        <w:t>h</w:t>
      </w:r>
      <w:r w:rsidR="00510228" w:rsidRPr="00510228">
        <w:t xml:space="preserve">uman </w:t>
      </w:r>
      <w:r w:rsidR="00510228">
        <w:t>g</w:t>
      </w:r>
      <w:r w:rsidR="00510228" w:rsidRPr="00510228">
        <w:t xml:space="preserve">ut </w:t>
      </w:r>
      <w:r w:rsidR="00510228">
        <w:t>m</w:t>
      </w:r>
      <w:r w:rsidR="00510228" w:rsidRPr="00510228">
        <w:t xml:space="preserve">icrobiome: </w:t>
      </w:r>
      <w:r w:rsidR="00510228">
        <w:t>c</w:t>
      </w:r>
      <w:r w:rsidR="00510228" w:rsidRPr="00510228">
        <w:t xml:space="preserve">orrelations </w:t>
      </w:r>
      <w:r w:rsidR="00510228">
        <w:t>w</w:t>
      </w:r>
      <w:r w:rsidR="00510228" w:rsidRPr="00510228">
        <w:t xml:space="preserve">ith </w:t>
      </w:r>
      <w:r w:rsidR="00510228">
        <w:t>d</w:t>
      </w:r>
      <w:r w:rsidR="00510228" w:rsidRPr="00510228">
        <w:t xml:space="preserve">iet and </w:t>
      </w:r>
      <w:r w:rsidR="00510228">
        <w:t>b</w:t>
      </w:r>
      <w:r w:rsidR="00510228" w:rsidRPr="00510228">
        <w:t xml:space="preserve">acterial </w:t>
      </w:r>
      <w:r w:rsidR="00510228">
        <w:t>r</w:t>
      </w:r>
      <w:r w:rsidR="00510228" w:rsidRPr="00510228">
        <w:t>esidents</w:t>
      </w:r>
      <w:r w:rsidR="00510228">
        <w:t xml:space="preserve">. </w:t>
      </w:r>
      <w:r>
        <w:t xml:space="preserve"> Plos One 2013 </w:t>
      </w:r>
      <w:r>
        <w:rPr>
          <w:b/>
          <w:bCs/>
        </w:rPr>
        <w:t>8</w:t>
      </w:r>
      <w:r>
        <w:t>(4): e66019.</w:t>
      </w:r>
    </w:p>
    <w:p w:rsidR="00214E26" w:rsidRDefault="00214E26" w:rsidP="00214E26">
      <w:r w:rsidRPr="00F94FA9">
        <w:t xml:space="preserve">Hollister EB, Gao C, Versalovic J. Compositional and functional features of the gastrointestinal microbiome and their effect on human health. Gastroenterology 2014 </w:t>
      </w:r>
      <w:r w:rsidRPr="00F94FA9">
        <w:rPr>
          <w:b/>
        </w:rPr>
        <w:t>146</w:t>
      </w:r>
      <w:r w:rsidRPr="00F94FA9">
        <w:t>(6)</w:t>
      </w:r>
      <w:r w:rsidR="00076BA8">
        <w:t>:</w:t>
      </w:r>
      <w:r w:rsidRPr="00F94FA9">
        <w:t xml:space="preserve"> 1449 – 1458.</w:t>
      </w:r>
    </w:p>
    <w:p w:rsidR="00076BA8" w:rsidRDefault="00076BA8" w:rsidP="00214E26">
      <w:r w:rsidRPr="00076BA8">
        <w:t>Hollister E.B., Riehle K., Luna R.A., Weidler E.M., Rubio-Gonzales M., Mistretta T.-A. Structure and function of the healthy pre-adolescent pediatric gut microbiome. Microbiome. 2015</w:t>
      </w:r>
      <w:r>
        <w:t xml:space="preserve"> </w:t>
      </w:r>
      <w:r w:rsidRPr="00FC165B">
        <w:rPr>
          <w:b/>
          <w:bCs/>
        </w:rPr>
        <w:t>3</w:t>
      </w:r>
      <w:r w:rsidRPr="00076BA8">
        <w:t>:36.</w:t>
      </w:r>
    </w:p>
    <w:p w:rsidR="00EC2E8C" w:rsidRDefault="00EC2E8C" w:rsidP="00214E26">
      <w:r>
        <w:t xml:space="preserve">Hoyles L, Snelling T, Umlar U-K, </w:t>
      </w:r>
      <w:r w:rsidR="00966D57">
        <w:t xml:space="preserve">Nicholsom JK, Carding SR, Glen RC, McArthur S. Microbiome-host systems interactions: protective effects of propionate upon the blood-brain barrier. Microbiome 2018 </w:t>
      </w:r>
      <w:r w:rsidR="00966D57">
        <w:rPr>
          <w:b/>
          <w:bCs/>
        </w:rPr>
        <w:t>6</w:t>
      </w:r>
      <w:r w:rsidR="00966D57">
        <w:t>: 55 – 67.</w:t>
      </w:r>
    </w:p>
    <w:p w:rsidR="00911171" w:rsidRPr="00F94FA9" w:rsidRDefault="00911171" w:rsidP="00214E26">
      <w:r w:rsidRPr="00F94FA9">
        <w:t>Hullar MAJ, Burnett-Hartman AN, Lampe JW. Gut microbes, diet and cancer. Cancer Treatment Research 2014</w:t>
      </w:r>
      <w:r w:rsidR="004E3C7C" w:rsidRPr="00F94FA9">
        <w:rPr>
          <w:b/>
        </w:rPr>
        <w:t>159</w:t>
      </w:r>
      <w:r w:rsidR="004E3C7C" w:rsidRPr="00F94FA9">
        <w:t>: 377 – 399.</w:t>
      </w:r>
    </w:p>
    <w:p w:rsidR="00D8136A" w:rsidRDefault="00D8136A" w:rsidP="00DD19CC">
      <w:pPr>
        <w:spacing w:before="240"/>
      </w:pPr>
      <w:r w:rsidRPr="00F94FA9">
        <w:t xml:space="preserve">Humblot C, Murkovic M, Rigottier-Gois L, Bensaada M, Bouclet A, Andrieux C, Anha J, Rabot S.  </w:t>
      </w:r>
      <w:r w:rsidRPr="00F94FA9">
        <w:rPr>
          <w:rFonts w:ascii="Symbol" w:hAnsi="Symbol"/>
        </w:rPr>
        <w:t></w:t>
      </w:r>
      <w:r w:rsidRPr="00F94FA9">
        <w:t>-glucuronidase in human intestinal microbiota is necessary for the colonic genotoxicity of the food-borne carcinogen 2-amino-3-methylimidazo[4,5-</w:t>
      </w:r>
      <w:r w:rsidRPr="00F94FA9">
        <w:rPr>
          <w:i/>
        </w:rPr>
        <w:t>f</w:t>
      </w:r>
      <w:r w:rsidRPr="00F94FA9">
        <w:t xml:space="preserve">]quinoline in rats. Carcinogenesis 2007 </w:t>
      </w:r>
      <w:r w:rsidRPr="00F94FA9">
        <w:rPr>
          <w:b/>
        </w:rPr>
        <w:t>28</w:t>
      </w:r>
      <w:r w:rsidRPr="00F94FA9">
        <w:t>(11): 2419 – 2425.</w:t>
      </w:r>
    </w:p>
    <w:p w:rsidR="002B3A50" w:rsidRPr="00574DE9" w:rsidRDefault="00057904" w:rsidP="002B3A50">
      <w:pPr>
        <w:shd w:val="clear" w:color="auto" w:fill="FFFFFF"/>
        <w:rPr>
          <w:rFonts w:cs="Arial"/>
          <w:color w:val="5B616B"/>
          <w:szCs w:val="24"/>
        </w:rPr>
      </w:pPr>
      <w:r w:rsidRPr="00574DE9">
        <w:rPr>
          <w:rStyle w:val="authors-list-item"/>
          <w:rFonts w:cs="Arial"/>
          <w:color w:val="5B616B"/>
          <w:szCs w:val="24"/>
        </w:rPr>
        <w:t>Imai</w:t>
      </w:r>
      <w:r w:rsidRPr="00574DE9">
        <w:rPr>
          <w:rStyle w:val="author-sup-separator"/>
          <w:rFonts w:cs="Arial"/>
          <w:color w:val="5B616B"/>
          <w:szCs w:val="24"/>
          <w:vertAlign w:val="superscript"/>
        </w:rPr>
        <w:t> </w:t>
      </w:r>
      <w:r w:rsidR="00574DE9">
        <w:rPr>
          <w:rStyle w:val="authors-list-item"/>
          <w:rFonts w:cs="Arial"/>
          <w:color w:val="5B616B"/>
          <w:szCs w:val="24"/>
        </w:rPr>
        <w:t>K</w:t>
      </w:r>
      <w:r w:rsidRPr="00574DE9">
        <w:rPr>
          <w:rStyle w:val="comma"/>
          <w:rFonts w:cs="Arial"/>
          <w:color w:val="5B616B"/>
          <w:szCs w:val="24"/>
        </w:rPr>
        <w:t>, </w:t>
      </w:r>
      <w:r w:rsidRPr="00574DE9">
        <w:rPr>
          <w:rStyle w:val="authors-list-item"/>
          <w:rFonts w:cs="Arial"/>
          <w:color w:val="5B616B"/>
          <w:szCs w:val="24"/>
        </w:rPr>
        <w:t xml:space="preserve"> Yamada</w:t>
      </w:r>
      <w:r w:rsidR="00574DE9">
        <w:rPr>
          <w:rStyle w:val="comma"/>
          <w:rFonts w:cs="Arial"/>
          <w:color w:val="5B616B"/>
          <w:szCs w:val="24"/>
        </w:rPr>
        <w:t xml:space="preserve"> K,</w:t>
      </w:r>
      <w:r w:rsidRPr="00574DE9">
        <w:rPr>
          <w:rStyle w:val="comma"/>
          <w:rFonts w:cs="Arial"/>
          <w:color w:val="5B616B"/>
          <w:szCs w:val="24"/>
        </w:rPr>
        <w:t> </w:t>
      </w:r>
      <w:r w:rsidRPr="00574DE9">
        <w:rPr>
          <w:rStyle w:val="authors-list-item"/>
          <w:rFonts w:cs="Arial"/>
          <w:color w:val="5B616B"/>
          <w:szCs w:val="24"/>
        </w:rPr>
        <w:t xml:space="preserve"> Tamura</w:t>
      </w:r>
      <w:r w:rsidR="00574DE9">
        <w:rPr>
          <w:rStyle w:val="authors-list-item"/>
          <w:rFonts w:cs="Arial"/>
          <w:color w:val="5B616B"/>
          <w:szCs w:val="24"/>
        </w:rPr>
        <w:t xml:space="preserve"> M</w:t>
      </w:r>
      <w:r w:rsidRPr="00574DE9">
        <w:rPr>
          <w:rStyle w:val="comma"/>
          <w:rFonts w:cs="Arial"/>
          <w:color w:val="5B616B"/>
          <w:szCs w:val="24"/>
        </w:rPr>
        <w:t>, </w:t>
      </w:r>
      <w:r w:rsidRPr="00574DE9">
        <w:rPr>
          <w:rStyle w:val="authors-list-item"/>
          <w:rFonts w:cs="Arial"/>
          <w:color w:val="5B616B"/>
          <w:szCs w:val="24"/>
        </w:rPr>
        <w:t xml:space="preserve"> Ochiai</w:t>
      </w:r>
      <w:r w:rsidR="00574DE9">
        <w:rPr>
          <w:rStyle w:val="authors-list-item"/>
          <w:rFonts w:cs="Arial"/>
          <w:color w:val="5B616B"/>
          <w:szCs w:val="24"/>
        </w:rPr>
        <w:t xml:space="preserve"> K</w:t>
      </w:r>
      <w:r w:rsidRPr="00574DE9">
        <w:rPr>
          <w:rStyle w:val="comma"/>
          <w:rFonts w:cs="Arial"/>
          <w:color w:val="5B616B"/>
          <w:szCs w:val="24"/>
        </w:rPr>
        <w:t>, </w:t>
      </w:r>
      <w:r w:rsidRPr="00574DE9">
        <w:rPr>
          <w:rStyle w:val="authors-list-item"/>
          <w:rFonts w:cs="Arial"/>
          <w:color w:val="5B616B"/>
          <w:szCs w:val="24"/>
        </w:rPr>
        <w:t>Okamoto</w:t>
      </w:r>
      <w:r w:rsidR="00574DE9">
        <w:rPr>
          <w:rStyle w:val="authors-list-item"/>
          <w:rFonts w:cs="Arial"/>
          <w:color w:val="5B616B"/>
          <w:szCs w:val="24"/>
        </w:rPr>
        <w:t xml:space="preserve"> T.</w:t>
      </w:r>
      <w:r w:rsidR="002B3A50" w:rsidRPr="00574DE9">
        <w:rPr>
          <w:rFonts w:cs="Arial"/>
          <w:color w:val="212121"/>
          <w:szCs w:val="24"/>
        </w:rPr>
        <w:t xml:space="preserve"> Reactivation of Latent HIV-1 by a Wide Variety of Butyric Acid-Producing Bacteria</w:t>
      </w:r>
      <w:r w:rsidR="00574DE9">
        <w:rPr>
          <w:rFonts w:cs="Arial"/>
          <w:color w:val="212121"/>
          <w:szCs w:val="24"/>
        </w:rPr>
        <w:t>.</w:t>
      </w:r>
      <w:r w:rsidR="002B3A50" w:rsidRPr="00574DE9">
        <w:rPr>
          <w:rFonts w:cs="Arial"/>
          <w:color w:val="5B616B"/>
          <w:szCs w:val="24"/>
        </w:rPr>
        <w:t xml:space="preserve"> Cell</w:t>
      </w:r>
      <w:r w:rsidR="00574DE9">
        <w:rPr>
          <w:rFonts w:cs="Arial"/>
          <w:color w:val="5B616B"/>
          <w:szCs w:val="24"/>
        </w:rPr>
        <w:t>ular and</w:t>
      </w:r>
      <w:r w:rsidR="002B3A50" w:rsidRPr="00574DE9">
        <w:rPr>
          <w:rFonts w:cs="Arial"/>
          <w:color w:val="5B616B"/>
          <w:szCs w:val="24"/>
        </w:rPr>
        <w:t xml:space="preserve"> Mol</w:t>
      </w:r>
      <w:r w:rsidR="00574DE9">
        <w:rPr>
          <w:rFonts w:cs="Arial"/>
          <w:color w:val="5B616B"/>
          <w:szCs w:val="24"/>
        </w:rPr>
        <w:t>ecular</w:t>
      </w:r>
      <w:r w:rsidR="002B3A50" w:rsidRPr="00574DE9">
        <w:rPr>
          <w:rFonts w:cs="Arial"/>
          <w:color w:val="5B616B"/>
          <w:szCs w:val="24"/>
        </w:rPr>
        <w:t xml:space="preserve"> Life Sci</w:t>
      </w:r>
      <w:r w:rsidR="00574DE9">
        <w:rPr>
          <w:rFonts w:cs="Arial"/>
          <w:color w:val="5B616B"/>
          <w:szCs w:val="24"/>
        </w:rPr>
        <w:t>ence</w:t>
      </w:r>
      <w:r w:rsidR="002B3A50" w:rsidRPr="00574DE9">
        <w:rPr>
          <w:rStyle w:val="comma"/>
          <w:rFonts w:cs="Arial"/>
          <w:color w:val="5B616B"/>
          <w:szCs w:val="24"/>
        </w:rPr>
        <w:t xml:space="preserve"> 2012 </w:t>
      </w:r>
      <w:r w:rsidR="002B3A50" w:rsidRPr="00574DE9">
        <w:rPr>
          <w:rStyle w:val="volume-issue-pages"/>
          <w:rFonts w:cs="Arial"/>
          <w:b/>
          <w:bCs/>
          <w:color w:val="5B616B"/>
          <w:szCs w:val="24"/>
        </w:rPr>
        <w:t>69</w:t>
      </w:r>
      <w:r w:rsidR="002B3A50" w:rsidRPr="00574DE9">
        <w:rPr>
          <w:rStyle w:val="volume-issue-pages"/>
          <w:rFonts w:cs="Arial"/>
          <w:color w:val="5B616B"/>
          <w:szCs w:val="24"/>
        </w:rPr>
        <w:t xml:space="preserve"> (15), 2583-92</w:t>
      </w:r>
      <w:r w:rsidR="00574DE9">
        <w:rPr>
          <w:rStyle w:val="volume-issue-pages"/>
          <w:rFonts w:cs="Arial"/>
          <w:color w:val="5B616B"/>
          <w:szCs w:val="24"/>
        </w:rPr>
        <w:t>.</w:t>
      </w:r>
    </w:p>
    <w:p w:rsidR="00BF472F" w:rsidRDefault="00574DE9" w:rsidP="00FB2DF4">
      <w:pPr>
        <w:spacing w:before="240"/>
      </w:pPr>
      <w:r>
        <w:t>I</w:t>
      </w:r>
      <w:r w:rsidR="00D8136A" w:rsidRPr="00F94FA9">
        <w:t>nternational Agency for Research on Cancer (IARC) 2018. Red meat and processed meat/ IARC Working Group on the Evaluation of Carcinogenic Risks to Humans (2015, Lyon, France) IARC monographs on the evaluation of carcinogenic risks to humans, volume 114.</w:t>
      </w:r>
    </w:p>
    <w:p w:rsidR="006F7556" w:rsidRPr="003738AC" w:rsidRDefault="006F7556" w:rsidP="006F7556">
      <w:pPr>
        <w:pStyle w:val="CommentText"/>
        <w:rPr>
          <w:sz w:val="24"/>
          <w:szCs w:val="24"/>
        </w:rPr>
      </w:pPr>
      <w:r w:rsidRPr="003738AC">
        <w:rPr>
          <w:sz w:val="24"/>
          <w:szCs w:val="24"/>
        </w:rPr>
        <w:t>Isaac S, Scher JU, Djukovic A, Jiménez N, Littman DR, Abramson SB, Pamer EG, Ubeda C (2017). Short- and long-term effects of oral vancomycin on the human intestinal microbiota. J</w:t>
      </w:r>
      <w:r w:rsidR="0099090B">
        <w:rPr>
          <w:sz w:val="24"/>
          <w:szCs w:val="24"/>
        </w:rPr>
        <w:t>ournal of</w:t>
      </w:r>
      <w:r w:rsidRPr="003738AC">
        <w:rPr>
          <w:sz w:val="24"/>
          <w:szCs w:val="24"/>
        </w:rPr>
        <w:t xml:space="preserve"> Antimicrob</w:t>
      </w:r>
      <w:r w:rsidR="0099090B">
        <w:rPr>
          <w:sz w:val="24"/>
          <w:szCs w:val="24"/>
        </w:rPr>
        <w:t>ial</w:t>
      </w:r>
      <w:r w:rsidRPr="003738AC">
        <w:rPr>
          <w:sz w:val="24"/>
          <w:szCs w:val="24"/>
        </w:rPr>
        <w:t xml:space="preserve"> Chemother</w:t>
      </w:r>
      <w:r w:rsidR="0099090B">
        <w:rPr>
          <w:sz w:val="24"/>
          <w:szCs w:val="24"/>
        </w:rPr>
        <w:t>apeutics</w:t>
      </w:r>
      <w:r w:rsidRPr="003738AC">
        <w:rPr>
          <w:sz w:val="24"/>
          <w:szCs w:val="24"/>
        </w:rPr>
        <w:t xml:space="preserve"> </w:t>
      </w:r>
      <w:r w:rsidRPr="0099090B">
        <w:rPr>
          <w:b/>
          <w:bCs/>
          <w:sz w:val="24"/>
          <w:szCs w:val="24"/>
        </w:rPr>
        <w:t>72</w:t>
      </w:r>
      <w:r w:rsidRPr="003738AC">
        <w:rPr>
          <w:sz w:val="24"/>
          <w:szCs w:val="24"/>
        </w:rPr>
        <w:t>:128-136. doi: 10.1093/jac/dkw38</w:t>
      </w:r>
    </w:p>
    <w:p w:rsidR="006F7556" w:rsidRPr="00FB2DF4" w:rsidRDefault="006F7556" w:rsidP="00FB2DF4">
      <w:pPr>
        <w:spacing w:before="240"/>
      </w:pPr>
    </w:p>
    <w:p w:rsidR="00FB2DF4" w:rsidRPr="00FB2DF4" w:rsidRDefault="00BF472F" w:rsidP="0057672C">
      <w:pPr>
        <w:pStyle w:val="Heading1"/>
        <w:shd w:val="clear" w:color="auto" w:fill="FFFFFF"/>
        <w:spacing w:after="120" w:line="240" w:lineRule="auto"/>
        <w:rPr>
          <w:rFonts w:cs="Arial"/>
          <w:bCs/>
          <w:color w:val="000000"/>
          <w:sz w:val="24"/>
          <w:szCs w:val="24"/>
        </w:rPr>
      </w:pPr>
      <w:r w:rsidRPr="00FB2DF4">
        <w:rPr>
          <w:rFonts w:cs="Arial"/>
          <w:color w:val="000000"/>
          <w:sz w:val="24"/>
          <w:szCs w:val="24"/>
        </w:rPr>
        <w:t>Jackson</w:t>
      </w:r>
      <w:r w:rsidR="00FB2DF4">
        <w:rPr>
          <w:rFonts w:cs="Arial"/>
          <w:color w:val="000000"/>
          <w:sz w:val="24"/>
          <w:szCs w:val="24"/>
        </w:rPr>
        <w:t xml:space="preserve"> MA</w:t>
      </w:r>
      <w:r w:rsidRPr="00FB2DF4">
        <w:rPr>
          <w:rFonts w:cs="Arial"/>
          <w:color w:val="000000"/>
          <w:sz w:val="24"/>
          <w:szCs w:val="24"/>
        </w:rPr>
        <w:t>, Goodrich</w:t>
      </w:r>
      <w:r w:rsidR="00FB2DF4">
        <w:rPr>
          <w:rFonts w:cs="Arial"/>
          <w:color w:val="000000"/>
          <w:sz w:val="24"/>
          <w:szCs w:val="24"/>
        </w:rPr>
        <w:t xml:space="preserve"> JK</w:t>
      </w:r>
      <w:r w:rsidRPr="00FB2DF4">
        <w:rPr>
          <w:rFonts w:cs="Arial"/>
          <w:color w:val="000000"/>
          <w:sz w:val="24"/>
          <w:szCs w:val="24"/>
        </w:rPr>
        <w:t>, Maxan</w:t>
      </w:r>
      <w:r w:rsidR="00FB2DF4">
        <w:rPr>
          <w:rFonts w:cs="Arial"/>
          <w:color w:val="000000"/>
          <w:sz w:val="24"/>
          <w:szCs w:val="24"/>
        </w:rPr>
        <w:t xml:space="preserve"> M-E</w:t>
      </w:r>
      <w:r w:rsidRPr="00FB2DF4">
        <w:rPr>
          <w:rFonts w:cs="Arial"/>
          <w:color w:val="000000"/>
          <w:sz w:val="24"/>
          <w:szCs w:val="24"/>
        </w:rPr>
        <w:t>, Freedberg</w:t>
      </w:r>
      <w:r w:rsidR="00FB2DF4">
        <w:rPr>
          <w:rFonts w:cs="Arial"/>
          <w:color w:val="000000"/>
          <w:sz w:val="24"/>
          <w:szCs w:val="24"/>
        </w:rPr>
        <w:t xml:space="preserve"> DE</w:t>
      </w:r>
      <w:r w:rsidRPr="00FB2DF4">
        <w:rPr>
          <w:rFonts w:cs="Arial"/>
          <w:color w:val="000000"/>
          <w:sz w:val="24"/>
          <w:szCs w:val="24"/>
        </w:rPr>
        <w:t>, Abrams</w:t>
      </w:r>
      <w:r w:rsidR="00FB2DF4">
        <w:rPr>
          <w:rFonts w:cs="Arial"/>
          <w:color w:val="000000"/>
          <w:sz w:val="24"/>
          <w:szCs w:val="24"/>
        </w:rPr>
        <w:t xml:space="preserve"> JA</w:t>
      </w:r>
      <w:r w:rsidRPr="00FB2DF4">
        <w:rPr>
          <w:rFonts w:cs="Arial"/>
          <w:color w:val="000000"/>
          <w:sz w:val="24"/>
          <w:szCs w:val="24"/>
        </w:rPr>
        <w:t>, Poole</w:t>
      </w:r>
      <w:r w:rsidR="00FB2DF4">
        <w:rPr>
          <w:rFonts w:cs="Arial"/>
          <w:color w:val="000000"/>
          <w:sz w:val="24"/>
          <w:szCs w:val="24"/>
        </w:rPr>
        <w:t xml:space="preserve"> AC</w:t>
      </w:r>
      <w:r w:rsidRPr="00FB2DF4">
        <w:rPr>
          <w:rFonts w:cs="Arial"/>
          <w:color w:val="000000"/>
          <w:sz w:val="24"/>
          <w:szCs w:val="24"/>
        </w:rPr>
        <w:t>, Sutter</w:t>
      </w:r>
      <w:r w:rsidR="00FB2DF4">
        <w:rPr>
          <w:rFonts w:cs="Arial"/>
          <w:color w:val="000000"/>
          <w:sz w:val="24"/>
          <w:szCs w:val="24"/>
        </w:rPr>
        <w:t xml:space="preserve"> JL</w:t>
      </w:r>
      <w:r w:rsidRPr="00FB2DF4">
        <w:rPr>
          <w:rFonts w:cs="Arial"/>
          <w:color w:val="000000"/>
          <w:sz w:val="24"/>
          <w:szCs w:val="24"/>
        </w:rPr>
        <w:t>, Welte</w:t>
      </w:r>
      <w:r w:rsidR="00FB2DF4">
        <w:rPr>
          <w:rFonts w:cs="Arial"/>
          <w:color w:val="000000"/>
          <w:sz w:val="24"/>
          <w:szCs w:val="24"/>
        </w:rPr>
        <w:t>r D</w:t>
      </w:r>
      <w:r w:rsidRPr="00FB2DF4">
        <w:rPr>
          <w:rFonts w:cs="Arial"/>
          <w:color w:val="000000"/>
          <w:sz w:val="24"/>
          <w:szCs w:val="24"/>
        </w:rPr>
        <w:t>, Ley</w:t>
      </w:r>
      <w:r w:rsidR="00FB2DF4">
        <w:rPr>
          <w:rFonts w:cs="Arial"/>
          <w:color w:val="000000"/>
          <w:sz w:val="24"/>
          <w:szCs w:val="24"/>
        </w:rPr>
        <w:t xml:space="preserve"> RE</w:t>
      </w:r>
      <w:r w:rsidRPr="00FB2DF4">
        <w:rPr>
          <w:rFonts w:cs="Arial"/>
          <w:color w:val="000000"/>
          <w:sz w:val="24"/>
          <w:szCs w:val="24"/>
        </w:rPr>
        <w:t>,  Bell</w:t>
      </w:r>
      <w:r w:rsidR="00FB2DF4">
        <w:rPr>
          <w:rFonts w:cs="Arial"/>
          <w:color w:val="000000"/>
          <w:sz w:val="24"/>
          <w:szCs w:val="24"/>
        </w:rPr>
        <w:t xml:space="preserve"> JT</w:t>
      </w:r>
      <w:r w:rsidRPr="00FB2DF4">
        <w:rPr>
          <w:rFonts w:cs="Arial"/>
          <w:color w:val="000000"/>
          <w:sz w:val="24"/>
          <w:szCs w:val="24"/>
        </w:rPr>
        <w:t xml:space="preserve">,  </w:t>
      </w:r>
      <w:r w:rsidR="00FB2DF4">
        <w:rPr>
          <w:rFonts w:cs="Arial"/>
          <w:color w:val="000000"/>
          <w:sz w:val="24"/>
          <w:szCs w:val="24"/>
        </w:rPr>
        <w:t>S</w:t>
      </w:r>
      <w:r w:rsidRPr="00FB2DF4">
        <w:rPr>
          <w:rFonts w:cs="Arial"/>
          <w:color w:val="000000"/>
          <w:sz w:val="24"/>
          <w:szCs w:val="24"/>
        </w:rPr>
        <w:t>pector</w:t>
      </w:r>
      <w:r w:rsidR="00FB2DF4">
        <w:rPr>
          <w:rFonts w:cs="Arial"/>
          <w:color w:val="000000"/>
          <w:sz w:val="24"/>
          <w:szCs w:val="24"/>
        </w:rPr>
        <w:t xml:space="preserve"> TD</w:t>
      </w:r>
      <w:r w:rsidRPr="00FB2DF4">
        <w:rPr>
          <w:rFonts w:cs="Arial"/>
          <w:color w:val="000000"/>
          <w:sz w:val="24"/>
          <w:szCs w:val="24"/>
        </w:rPr>
        <w:t>,  Steves</w:t>
      </w:r>
      <w:r w:rsidR="00FB2DF4">
        <w:rPr>
          <w:rFonts w:cs="Arial"/>
          <w:color w:val="000000"/>
          <w:sz w:val="24"/>
          <w:szCs w:val="24"/>
        </w:rPr>
        <w:t xml:space="preserve"> CJ.</w:t>
      </w:r>
      <w:r w:rsidR="00FB2DF4" w:rsidRPr="00FB2DF4">
        <w:rPr>
          <w:rFonts w:cs="Arial"/>
          <w:bCs/>
          <w:color w:val="000000"/>
          <w:sz w:val="24"/>
          <w:szCs w:val="24"/>
        </w:rPr>
        <w:t xml:space="preserve"> Proton pump inhibitors</w:t>
      </w:r>
      <w:r w:rsidR="00FB2DF4">
        <w:rPr>
          <w:rFonts w:cs="Arial"/>
          <w:bCs/>
          <w:color w:val="000000"/>
          <w:sz w:val="24"/>
          <w:szCs w:val="24"/>
        </w:rPr>
        <w:t xml:space="preserve"> </w:t>
      </w:r>
      <w:r w:rsidR="00FB2DF4" w:rsidRPr="00FB2DF4">
        <w:rPr>
          <w:rFonts w:cs="Arial"/>
          <w:bCs/>
          <w:color w:val="000000"/>
          <w:sz w:val="24"/>
          <w:szCs w:val="24"/>
        </w:rPr>
        <w:t>alter the composition of the gut microbiota</w:t>
      </w:r>
      <w:r w:rsidR="00FB2DF4" w:rsidRPr="00FB2DF4">
        <w:rPr>
          <w:rStyle w:val="cit"/>
          <w:rFonts w:cs="Arial"/>
          <w:color w:val="000000"/>
          <w:szCs w:val="24"/>
        </w:rPr>
        <w:t xml:space="preserve"> </w:t>
      </w:r>
      <w:r w:rsidR="00FB2DF4" w:rsidRPr="00FB2DF4">
        <w:rPr>
          <w:rStyle w:val="cit"/>
          <w:rFonts w:cs="Arial"/>
          <w:color w:val="000000"/>
          <w:sz w:val="24"/>
          <w:szCs w:val="24"/>
        </w:rPr>
        <w:t>Gut. 2016 May; 65(5): 749–756</w:t>
      </w:r>
    </w:p>
    <w:p w:rsidR="00214E26" w:rsidRDefault="00214E26" w:rsidP="0057672C">
      <w:pPr>
        <w:spacing w:line="240" w:lineRule="auto"/>
      </w:pPr>
      <w:r w:rsidRPr="00F94FA9">
        <w:t xml:space="preserve">Jandhyala SM, Talukdar R, Subramanyam C, Vuyyuru H, Sasikale M. Role of the normal gut microbiota. World Journal of Gastroenterology 2015 </w:t>
      </w:r>
      <w:r w:rsidRPr="00F94FA9">
        <w:rPr>
          <w:b/>
        </w:rPr>
        <w:t>21</w:t>
      </w:r>
      <w:r w:rsidRPr="00F94FA9">
        <w:t>(29) 8787 – 8803.</w:t>
      </w:r>
    </w:p>
    <w:p w:rsidR="0020245D" w:rsidRPr="00E11879" w:rsidRDefault="0020245D" w:rsidP="0057672C">
      <w:pPr>
        <w:spacing w:line="240" w:lineRule="auto"/>
      </w:pPr>
      <w:r>
        <w:t xml:space="preserve">Jayasudha R, Chakravarthy ~SK, Prashanthi GS, Sharma S, Tyagi M, Shivaji S. Implicating dysbiosis of the </w:t>
      </w:r>
      <w:r w:rsidR="00E11879">
        <w:t xml:space="preserve">gut fungal microbiome in uveitis, an inflammatory disease of the eye. Investigative Ophthalmology &amp; Visual Sciences 2019  </w:t>
      </w:r>
      <w:r w:rsidR="00E11879">
        <w:rPr>
          <w:b/>
          <w:bCs/>
        </w:rPr>
        <w:t>60</w:t>
      </w:r>
      <w:r w:rsidR="00E11879">
        <w:t>: 1384 – 1393.</w:t>
      </w:r>
    </w:p>
    <w:p w:rsidR="00F55126" w:rsidRPr="00F94FA9" w:rsidRDefault="00F55126" w:rsidP="00DC0CF2">
      <w:pPr>
        <w:rPr>
          <w:rStyle w:val="SubtleReference"/>
          <w:smallCaps w:val="0"/>
          <w:color w:val="auto"/>
        </w:rPr>
      </w:pPr>
      <w:r w:rsidRPr="00F94FA9">
        <w:rPr>
          <w:rStyle w:val="SubtleReference"/>
          <w:smallCaps w:val="0"/>
          <w:color w:val="auto"/>
        </w:rPr>
        <w:t xml:space="preserve">Javurek AB, Spollen WG, Johnson SA, Bivens NJ, Bromert KH, Givan SA, Rosenfeld CS. Effects of exposure to bisphenol A and ethinyl estradiol on the gut microbiota of parents and their offspring in a rodent model. Gut Microbes </w:t>
      </w:r>
      <w:r w:rsidRPr="00F94FA9">
        <w:rPr>
          <w:rStyle w:val="SubtleReference"/>
          <w:b/>
          <w:smallCaps w:val="0"/>
          <w:color w:val="auto"/>
        </w:rPr>
        <w:t>7</w:t>
      </w:r>
      <w:r w:rsidRPr="00F94FA9">
        <w:rPr>
          <w:rStyle w:val="SubtleReference"/>
          <w:smallCaps w:val="0"/>
          <w:color w:val="auto"/>
        </w:rPr>
        <w:t xml:space="preserve">(6): 471 </w:t>
      </w:r>
      <w:r w:rsidR="00AB189E" w:rsidRPr="00F94FA9">
        <w:rPr>
          <w:rStyle w:val="SubtleReference"/>
          <w:smallCaps w:val="0"/>
          <w:color w:val="auto"/>
        </w:rPr>
        <w:t>–</w:t>
      </w:r>
      <w:r w:rsidRPr="00F94FA9">
        <w:rPr>
          <w:rStyle w:val="SubtleReference"/>
          <w:smallCaps w:val="0"/>
          <w:color w:val="auto"/>
        </w:rPr>
        <w:t xml:space="preserve"> 485</w:t>
      </w:r>
      <w:r w:rsidR="00AB189E" w:rsidRPr="00F94FA9">
        <w:rPr>
          <w:rStyle w:val="SubtleReference"/>
          <w:smallCaps w:val="0"/>
          <w:color w:val="auto"/>
        </w:rPr>
        <w:t>.</w:t>
      </w:r>
    </w:p>
    <w:p w:rsidR="00214C58" w:rsidRDefault="00AB189E" w:rsidP="0057672C">
      <w:r w:rsidRPr="00F94FA9">
        <w:t>J</w:t>
      </w:r>
      <w:r w:rsidR="00085976" w:rsidRPr="00F94FA9">
        <w:t>oint</w:t>
      </w:r>
      <w:r w:rsidRPr="00F94FA9">
        <w:t xml:space="preserve"> FAO/WHO E</w:t>
      </w:r>
      <w:r w:rsidR="00085976" w:rsidRPr="00F94FA9">
        <w:t>xpert</w:t>
      </w:r>
      <w:r w:rsidRPr="00F94FA9">
        <w:t xml:space="preserve"> C</w:t>
      </w:r>
      <w:r w:rsidR="00085976" w:rsidRPr="00F94FA9">
        <w:t>ommittee</w:t>
      </w:r>
      <w:r w:rsidRPr="00F94FA9">
        <w:t xml:space="preserve"> O</w:t>
      </w:r>
      <w:r w:rsidR="00085976" w:rsidRPr="00F94FA9">
        <w:t>n</w:t>
      </w:r>
      <w:r w:rsidRPr="00F94FA9">
        <w:t xml:space="preserve"> F</w:t>
      </w:r>
      <w:r w:rsidR="00085976" w:rsidRPr="00F94FA9">
        <w:t>ood</w:t>
      </w:r>
      <w:r w:rsidRPr="00F94FA9">
        <w:t xml:space="preserve"> A</w:t>
      </w:r>
      <w:r w:rsidR="00085976" w:rsidRPr="00F94FA9">
        <w:t>dditives</w:t>
      </w:r>
      <w:r w:rsidRPr="00F94FA9">
        <w:t xml:space="preserve"> </w:t>
      </w:r>
      <w:r w:rsidR="00F05865">
        <w:t>(JECFA). 2016</w:t>
      </w:r>
      <w:r w:rsidR="00E11879">
        <w:t xml:space="preserve"> </w:t>
      </w:r>
    </w:p>
    <w:p w:rsidR="00F05865" w:rsidRDefault="00323507" w:rsidP="0057672C">
      <w:pPr>
        <w:rPr>
          <w:u w:val="single"/>
        </w:rPr>
      </w:pPr>
      <w:hyperlink r:id="rId18" w:history="1">
        <w:r w:rsidR="00214C58" w:rsidRPr="00270781">
          <w:rPr>
            <w:rStyle w:val="Hyperlink"/>
          </w:rPr>
          <w:t>https://www.who.int/foodsafety/chem/jecfa/Guidance_ARfD.pdf</w:t>
        </w:r>
      </w:hyperlink>
    </w:p>
    <w:p w:rsidR="00214C58" w:rsidRPr="00F94FA9" w:rsidRDefault="00214C58" w:rsidP="0057672C"/>
    <w:p w:rsidR="00F05865" w:rsidRPr="00214C58" w:rsidRDefault="00F05865" w:rsidP="00214C58">
      <w:r>
        <w:t>JECFA 201</w:t>
      </w:r>
      <w:r w:rsidR="00214C58">
        <w:t>8</w:t>
      </w:r>
      <w:r>
        <w:t xml:space="preserve">. </w:t>
      </w:r>
      <w:r w:rsidR="00AB189E" w:rsidRPr="00F94FA9">
        <w:t>Summary report on the Eighty-fifth meeting (Residues of veterinary drugs) Geneva, 17–26 October 2017</w:t>
      </w:r>
      <w:r w:rsidR="00390AEE">
        <w:t>.</w:t>
      </w:r>
    </w:p>
    <w:p w:rsidR="00F05865" w:rsidRPr="00F05865" w:rsidRDefault="00323507" w:rsidP="0057672C">
      <w:pPr>
        <w:rPr>
          <w:szCs w:val="24"/>
        </w:rPr>
      </w:pPr>
      <w:hyperlink r:id="rId19" w:history="1">
        <w:r w:rsidR="00F05865" w:rsidRPr="00F05865">
          <w:rPr>
            <w:rStyle w:val="Hyperlink"/>
          </w:rPr>
          <w:t>https://apps.who.int/iris/bitstream/handle/10665/259895/9789241210171-eng.pdf;jsessionid=D2F57DBBF206C8B3EF596864AF35E376?sequence=1</w:t>
        </w:r>
      </w:hyperlink>
    </w:p>
    <w:p w:rsidR="00F55126" w:rsidRPr="00F94FA9" w:rsidRDefault="00D97105" w:rsidP="00214E26">
      <w:r w:rsidRPr="00F94FA9">
        <w:t>Jourova L, Anzenbacher P, Anzenbacherova</w:t>
      </w:r>
      <w:r w:rsidR="00836D2D">
        <w:t xml:space="preserve"> </w:t>
      </w:r>
      <w:r w:rsidRPr="00F94FA9">
        <w:t>E. Human gut microbiota plays a role in the metabolism of drugs. Biomedical Papers of the Medical Faculty of the</w:t>
      </w:r>
      <w:r w:rsidR="00F56E65" w:rsidRPr="00F94FA9">
        <w:t xml:space="preserve"> University Palacky</w:t>
      </w:r>
      <w:r w:rsidRPr="00F94FA9">
        <w:t xml:space="preserve"> </w:t>
      </w:r>
      <w:r w:rsidR="00F56E65" w:rsidRPr="00F94FA9">
        <w:t>Olomouc, Czech Republic.</w:t>
      </w:r>
      <w:r w:rsidR="00F56E65" w:rsidRPr="00F94FA9">
        <w:rPr>
          <w:b/>
        </w:rPr>
        <w:t>160</w:t>
      </w:r>
      <w:r w:rsidR="00F56E65" w:rsidRPr="00F94FA9">
        <w:t xml:space="preserve">(3): 317 </w:t>
      </w:r>
      <w:r w:rsidR="00615213">
        <w:t>–</w:t>
      </w:r>
      <w:r w:rsidR="00F56E65" w:rsidRPr="00F94FA9">
        <w:t xml:space="preserve"> 326</w:t>
      </w:r>
      <w:r w:rsidR="00615213">
        <w:t>.</w:t>
      </w:r>
    </w:p>
    <w:p w:rsidR="00D8136A" w:rsidRPr="00F94FA9" w:rsidRDefault="00D8136A" w:rsidP="00540FEA">
      <w:pPr>
        <w:pStyle w:val="ListParagraph"/>
        <w:spacing w:before="240"/>
        <w:ind w:left="0"/>
        <w:rPr>
          <w:szCs w:val="24"/>
        </w:rPr>
      </w:pPr>
      <w:r w:rsidRPr="00F94FA9">
        <w:rPr>
          <w:szCs w:val="24"/>
        </w:rPr>
        <w:t xml:space="preserve">Jun C, Xia J, Wu S, Tu W, Pan Z, Fu Z, Wang Y, Jin Y Insights into a possible influence on gut microbiota and intestinal barrier function during chronic exposure of mice to imazalil. Toxicological Sciences 2018 </w:t>
      </w:r>
      <w:r w:rsidRPr="00F94FA9">
        <w:rPr>
          <w:b/>
          <w:szCs w:val="24"/>
        </w:rPr>
        <w:t>162</w:t>
      </w:r>
      <w:r w:rsidRPr="00F94FA9">
        <w:rPr>
          <w:szCs w:val="24"/>
        </w:rPr>
        <w:t>(1): 113 – 123</w:t>
      </w:r>
      <w:r w:rsidR="00F3088C" w:rsidRPr="00F94FA9">
        <w:rPr>
          <w:szCs w:val="24"/>
        </w:rPr>
        <w:t>.</w:t>
      </w:r>
    </w:p>
    <w:p w:rsidR="000F2630" w:rsidRPr="00F94FA9" w:rsidRDefault="000F2630" w:rsidP="00540FEA">
      <w:pPr>
        <w:pStyle w:val="ListParagraph"/>
        <w:spacing w:before="240"/>
        <w:ind w:left="0"/>
        <w:rPr>
          <w:szCs w:val="24"/>
        </w:rPr>
      </w:pPr>
    </w:p>
    <w:p w:rsidR="00D8136A" w:rsidRPr="00F94FA9" w:rsidRDefault="00D8136A" w:rsidP="00540FEA">
      <w:pPr>
        <w:pStyle w:val="ListParagraph"/>
        <w:spacing w:before="240"/>
        <w:ind w:left="0"/>
        <w:rPr>
          <w:szCs w:val="24"/>
        </w:rPr>
      </w:pPr>
      <w:r w:rsidRPr="00F94FA9">
        <w:rPr>
          <w:szCs w:val="24"/>
        </w:rPr>
        <w:t xml:space="preserve">Jun C, Zeng Z, Fu Z, Jin Y. Oral imazalil exposure induces gut microbiota dysbiosis and colonic inflammation in mice. Chemosphere 2016 </w:t>
      </w:r>
      <w:r w:rsidRPr="00F94FA9">
        <w:rPr>
          <w:b/>
          <w:szCs w:val="24"/>
        </w:rPr>
        <w:t>160</w:t>
      </w:r>
      <w:r w:rsidRPr="00F94FA9">
        <w:rPr>
          <w:szCs w:val="24"/>
        </w:rPr>
        <w:t>: 349 – 358.</w:t>
      </w:r>
    </w:p>
    <w:p w:rsidR="00D8136A" w:rsidRDefault="00D8136A" w:rsidP="00DD19CC">
      <w:pPr>
        <w:spacing w:before="240"/>
      </w:pPr>
      <w:r w:rsidRPr="00F94FA9">
        <w:t xml:space="preserve">Kaddurah-Daouk R, Baillie RA, Zhu H, Zeng Z-B, Wiest MM, Nguyen UT, Wojnoonski K, Watkins SM, Trupp M, Krauss RM. Enteric microbiome metabolites correlate with response to simvastatin treatment/ PLOS One 2011 </w:t>
      </w:r>
      <w:r w:rsidRPr="00F94FA9">
        <w:rPr>
          <w:b/>
        </w:rPr>
        <w:t>6</w:t>
      </w:r>
      <w:r w:rsidRPr="00F94FA9">
        <w:t>(10) e25482</w:t>
      </w:r>
      <w:r w:rsidR="00F3088C" w:rsidRPr="00F94FA9">
        <w:t>.</w:t>
      </w:r>
    </w:p>
    <w:p w:rsidR="00735878" w:rsidRPr="00F94FA9" w:rsidRDefault="00735878" w:rsidP="00DD19CC">
      <w:pPr>
        <w:spacing w:before="240"/>
      </w:pPr>
      <w:r>
        <w:t xml:space="preserve">Kespohl M, Vachharajani N, Luu M, Harb H, Pautz S, Wolff S, Sillner N, Walker A, Schmitt-Kopplin P, Boettger T, Renz H, Offermanns S, Steinhoff U and Visekruna A The microbial metabolite butyrate induces expression of Th1- associated factors in CD4+ T cells. Frontiers in Immunolpgy 2017 </w:t>
      </w:r>
      <w:r w:rsidRPr="00FC165B">
        <w:rPr>
          <w:b/>
          <w:bCs/>
        </w:rPr>
        <w:t>8</w:t>
      </w:r>
      <w:r>
        <w:t>:1036.</w:t>
      </w:r>
    </w:p>
    <w:p w:rsidR="00E95F18" w:rsidRDefault="00D8136A">
      <w:pPr>
        <w:pStyle w:val="ListParagraph"/>
        <w:spacing w:before="240"/>
        <w:ind w:left="0"/>
      </w:pPr>
      <w:r w:rsidRPr="00F94FA9">
        <w:t xml:space="preserve">Kim D-H. Gut-microbiota-mediated drug-antibiotic interactions. Drug Metabolism and Deposition 2015 </w:t>
      </w:r>
      <w:r w:rsidRPr="00F94FA9">
        <w:rPr>
          <w:b/>
        </w:rPr>
        <w:t>43</w:t>
      </w:r>
      <w:r w:rsidRPr="00F94FA9">
        <w:t>: 1581 – 1589.</w:t>
      </w:r>
    </w:p>
    <w:p w:rsidR="00313A29" w:rsidRPr="00755293" w:rsidRDefault="00313A29" w:rsidP="00755293">
      <w:pPr>
        <w:pStyle w:val="ListParagraph"/>
        <w:spacing w:before="240"/>
        <w:ind w:left="0"/>
      </w:pPr>
    </w:p>
    <w:p w:rsidR="00E95F18" w:rsidRPr="00390AEE" w:rsidRDefault="00E95F18" w:rsidP="00E95F18">
      <w:pPr>
        <w:shd w:val="clear" w:color="auto" w:fill="FFFFFF"/>
        <w:rPr>
          <w:rFonts w:cs="Arial"/>
          <w:szCs w:val="24"/>
        </w:rPr>
      </w:pPr>
      <w:r w:rsidRPr="00390AEE">
        <w:rPr>
          <w:rStyle w:val="authors-list-item"/>
          <w:rFonts w:cs="Arial"/>
          <w:szCs w:val="24"/>
        </w:rPr>
        <w:t>Kim HJ</w:t>
      </w:r>
      <w:r w:rsidRPr="00390AEE">
        <w:rPr>
          <w:rStyle w:val="comma"/>
          <w:rFonts w:cs="Arial"/>
          <w:szCs w:val="24"/>
        </w:rPr>
        <w:t>, </w:t>
      </w:r>
      <w:r w:rsidRPr="00390AEE">
        <w:rPr>
          <w:rStyle w:val="authors-list-item"/>
          <w:rFonts w:cs="Arial"/>
          <w:szCs w:val="24"/>
        </w:rPr>
        <w:t xml:space="preserve"> Li H,</w:t>
      </w:r>
      <w:r w:rsidRPr="00390AEE">
        <w:rPr>
          <w:rStyle w:val="authors-list-item"/>
          <w:rFonts w:cs="Arial"/>
          <w:szCs w:val="24"/>
          <w:shd w:val="clear" w:color="auto" w:fill="F1F1F1"/>
          <w:vertAlign w:val="superscript"/>
        </w:rPr>
        <w:t xml:space="preserve"> </w:t>
      </w:r>
      <w:r w:rsidRPr="00390AEE">
        <w:rPr>
          <w:rStyle w:val="authors-list-item"/>
          <w:rFonts w:cs="Arial"/>
          <w:szCs w:val="24"/>
        </w:rPr>
        <w:t>Collins JJ</w:t>
      </w:r>
      <w:r w:rsidRPr="00390AEE">
        <w:rPr>
          <w:rStyle w:val="comma"/>
          <w:rFonts w:cs="Arial"/>
          <w:szCs w:val="24"/>
        </w:rPr>
        <w:t>, </w:t>
      </w:r>
      <w:r w:rsidRPr="00390AEE">
        <w:rPr>
          <w:rStyle w:val="authors-list-item"/>
          <w:rFonts w:cs="Arial"/>
          <w:szCs w:val="24"/>
        </w:rPr>
        <w:t xml:space="preserve"> Ingber DE.</w:t>
      </w:r>
      <w:r w:rsidRPr="00390AEE">
        <w:rPr>
          <w:rStyle w:val="author-sup-separator"/>
          <w:rFonts w:cs="Arial"/>
          <w:szCs w:val="24"/>
          <w:vertAlign w:val="superscript"/>
        </w:rPr>
        <w:t> </w:t>
      </w:r>
      <w:r w:rsidR="00390AEE" w:rsidRPr="00390AEE">
        <w:rPr>
          <w:rFonts w:cs="Arial"/>
          <w:szCs w:val="24"/>
        </w:rPr>
        <w:t xml:space="preserve"> </w:t>
      </w:r>
      <w:r w:rsidRPr="00390AEE">
        <w:rPr>
          <w:rFonts w:cs="Arial"/>
          <w:szCs w:val="24"/>
        </w:rPr>
        <w:t>Contributions of Microbiome and Mechanical Deformation to Intestinal Bacterial Overgrowth and Inflammation in a Human Gut-On-A-Chip Proc Natl Acad Sci U S A</w:t>
      </w:r>
      <w:r w:rsidRPr="00390AEE">
        <w:rPr>
          <w:rStyle w:val="period"/>
          <w:rFonts w:cs="Arial"/>
          <w:szCs w:val="24"/>
        </w:rPr>
        <w:t>. </w:t>
      </w:r>
      <w:r w:rsidRPr="00390AEE">
        <w:rPr>
          <w:rStyle w:val="cit"/>
          <w:rFonts w:cs="Arial"/>
          <w:szCs w:val="24"/>
        </w:rPr>
        <w:t xml:space="preserve">2016 </w:t>
      </w:r>
      <w:r w:rsidRPr="00390AEE">
        <w:rPr>
          <w:rStyle w:val="cit"/>
          <w:rFonts w:cs="Arial"/>
          <w:b/>
          <w:bCs/>
          <w:szCs w:val="24"/>
        </w:rPr>
        <w:t>113</w:t>
      </w:r>
      <w:r w:rsidRPr="00390AEE">
        <w:rPr>
          <w:rStyle w:val="cit"/>
          <w:rFonts w:cs="Arial"/>
          <w:szCs w:val="24"/>
        </w:rPr>
        <w:t>(1):E7-15.</w:t>
      </w:r>
    </w:p>
    <w:p w:rsidR="00636EC2" w:rsidRDefault="00E446DB" w:rsidP="00DD19CC">
      <w:pPr>
        <w:pStyle w:val="ListParagraph"/>
        <w:spacing w:before="240"/>
        <w:ind w:left="0"/>
      </w:pPr>
      <w:r w:rsidRPr="00F94FA9">
        <w:t>imura I, Ozawa K, Inoue D, Imamura T, Kimura K, Maeda T, Terasawa K, Kashihara D, Hirano K, Tani T, Takahashi T, Miyahuchi S, Shioi G, Inoue H, Tsujimoto G. The gut microbiota suppresses insulin-mediated fat accumulation via the short-chain fatty acid receptor GPR43. Nature Communications 2013  doi: 10.1038/</w:t>
      </w:r>
      <w:r w:rsidR="0048611B" w:rsidRPr="00F94FA9">
        <w:t>n</w:t>
      </w:r>
      <w:r w:rsidRPr="00F94FA9">
        <w:t>comms2852</w:t>
      </w:r>
      <w:r w:rsidR="00636EC2" w:rsidRPr="00F94FA9">
        <w:t>.</w:t>
      </w:r>
    </w:p>
    <w:p w:rsidR="00BB7923" w:rsidRPr="00F94FA9" w:rsidRDefault="00BB7923" w:rsidP="00DD19CC">
      <w:pPr>
        <w:pStyle w:val="ListParagraph"/>
        <w:spacing w:before="240"/>
        <w:ind w:left="0"/>
      </w:pPr>
    </w:p>
    <w:p w:rsidR="002737EF" w:rsidRDefault="002737EF" w:rsidP="00BB7923">
      <w:pPr>
        <w:pStyle w:val="ListParagraph"/>
        <w:spacing w:before="240"/>
        <w:ind w:left="0"/>
      </w:pPr>
    </w:p>
    <w:p w:rsidR="002737EF" w:rsidRDefault="002737EF" w:rsidP="00755293">
      <w:pPr>
        <w:pStyle w:val="ListParagraph"/>
        <w:spacing w:before="240"/>
        <w:ind w:left="0"/>
      </w:pPr>
      <w:r>
        <w:t xml:space="preserve">Kosnicki KL, Penprase JC, Cintora P, Torres PJ, Harris GL, Brasser SM, Kelley ST Effects of moderate, voluntary ethanol consumption on the rat and human gut microbiome AddictionBiology 2019 </w:t>
      </w:r>
      <w:r w:rsidRPr="00755293">
        <w:rPr>
          <w:b/>
          <w:bCs/>
        </w:rPr>
        <w:t>24</w:t>
      </w:r>
      <w:r>
        <w:t>(4): 617–630.</w:t>
      </w:r>
    </w:p>
    <w:p w:rsidR="00D239EE" w:rsidRPr="00F94FA9" w:rsidRDefault="00D239EE" w:rsidP="00DD19CC">
      <w:pPr>
        <w:pStyle w:val="ListParagraph"/>
        <w:spacing w:before="240"/>
        <w:ind w:left="0"/>
      </w:pPr>
    </w:p>
    <w:p w:rsidR="00D239EE" w:rsidRPr="00F94FA9" w:rsidRDefault="00D239EE" w:rsidP="00DD19CC">
      <w:pPr>
        <w:pStyle w:val="ListParagraph"/>
        <w:spacing w:before="240"/>
        <w:ind w:left="0"/>
      </w:pPr>
      <w:r w:rsidRPr="00F94FA9">
        <w:t xml:space="preserve">Krishnan S, Alden N, Lee K. Pathways and functions of gut microbiota metabolism impacting host physiology. Current Opinion in Biotechnology. 2015 </w:t>
      </w:r>
      <w:r w:rsidRPr="00F94FA9">
        <w:rPr>
          <w:b/>
        </w:rPr>
        <w:t>36</w:t>
      </w:r>
      <w:r w:rsidRPr="00F94FA9">
        <w:t>: 137–145. doi:10.1016/j.copbio.2015.08.015.</w:t>
      </w:r>
    </w:p>
    <w:p w:rsidR="00A87258" w:rsidRPr="00F94FA9" w:rsidRDefault="00A87258" w:rsidP="00DD19CC">
      <w:pPr>
        <w:pStyle w:val="ListParagraph"/>
        <w:spacing w:before="240"/>
        <w:ind w:left="0"/>
      </w:pPr>
    </w:p>
    <w:p w:rsidR="00A87258" w:rsidRDefault="00A87258" w:rsidP="00DD19CC">
      <w:pPr>
        <w:pStyle w:val="ListParagraph"/>
        <w:spacing w:before="240"/>
        <w:ind w:left="0"/>
      </w:pPr>
      <w:r w:rsidRPr="00F94FA9">
        <w:t xml:space="preserve">Koliada A, Syzenko G, Moseiko V, Budovska L, Puchkov K, Perederiy V, gavalko Y, Dorofeyev A, Romanenko M, Tkach S, Sineck L, Lushchak O, Vaiserman A. Association between body mass index and </w:t>
      </w:r>
      <w:r w:rsidRPr="00F94FA9">
        <w:rPr>
          <w:i/>
        </w:rPr>
        <w:t xml:space="preserve">Firmicutes/Bacteroidetes </w:t>
      </w:r>
      <w:r w:rsidRPr="00F94FA9">
        <w:t xml:space="preserve">ratio in an adult Ukrainian population. BMC Microbiology 2017 </w:t>
      </w:r>
      <w:r w:rsidRPr="00F94FA9">
        <w:rPr>
          <w:b/>
        </w:rPr>
        <w:t>17</w:t>
      </w:r>
      <w:r w:rsidRPr="00F94FA9">
        <w:t xml:space="preserve">: 120 </w:t>
      </w:r>
      <w:r w:rsidR="00662366">
        <w:t>–</w:t>
      </w:r>
      <w:r w:rsidRPr="00F94FA9">
        <w:t xml:space="preserve"> 125</w:t>
      </w:r>
      <w:r w:rsidR="00662366">
        <w:t>.</w:t>
      </w:r>
    </w:p>
    <w:p w:rsidR="00662366" w:rsidRDefault="00662366" w:rsidP="00DD19CC">
      <w:pPr>
        <w:pStyle w:val="ListParagraph"/>
        <w:spacing w:before="240"/>
        <w:ind w:left="0"/>
      </w:pPr>
    </w:p>
    <w:p w:rsidR="00662366" w:rsidRPr="00662366" w:rsidRDefault="00662366" w:rsidP="00DD19CC">
      <w:pPr>
        <w:pStyle w:val="ListParagraph"/>
        <w:spacing w:before="240"/>
        <w:ind w:left="0"/>
        <w:rPr>
          <w:i/>
        </w:rPr>
      </w:pPr>
      <w:r>
        <w:t xml:space="preserve">Koskinen K, Pausan MR, Perras AK, Beck M, Bang C, Mora M, Schilhabel A, Schmitz R, Moissi-Eichinger C. First insights into the diverse human archaeome: specific detection of archaea in the gastrointestinal tract, lung, and nose and on skin. mBio 2017 </w:t>
      </w:r>
      <w:r>
        <w:rPr>
          <w:b/>
          <w:bCs/>
        </w:rPr>
        <w:t>8</w:t>
      </w:r>
      <w:r>
        <w:t>(6): e00824-17</w:t>
      </w:r>
      <w:r w:rsidR="00615213">
        <w:t>.</w:t>
      </w:r>
    </w:p>
    <w:p w:rsidR="00F55126" w:rsidRPr="00F94FA9" w:rsidRDefault="00F55126" w:rsidP="00F55126">
      <w:r w:rsidRPr="00F94FA9">
        <w:t xml:space="preserve">Lai K-P, Chung Y-T, Li R, Wan H-T, Wong C K-C. Bisphenol A alters gut microbiome: comparative metagenomics analysis. Environmental Pollution 2016 </w:t>
      </w:r>
      <w:r w:rsidRPr="00F94FA9">
        <w:rPr>
          <w:b/>
        </w:rPr>
        <w:t>218</w:t>
      </w:r>
      <w:r w:rsidRPr="00F94FA9">
        <w:t>: 923 – 930.</w:t>
      </w:r>
    </w:p>
    <w:p w:rsidR="00F55126" w:rsidRDefault="00F55126" w:rsidP="00DC0CF2">
      <w:pPr>
        <w:spacing w:before="240"/>
        <w:rPr>
          <w:rStyle w:val="SubtleReference"/>
          <w:smallCaps w:val="0"/>
          <w:color w:val="auto"/>
        </w:rPr>
      </w:pPr>
      <w:r w:rsidRPr="00F94FA9">
        <w:rPr>
          <w:rStyle w:val="SubtleReference"/>
          <w:smallCaps w:val="0"/>
          <w:color w:val="auto"/>
        </w:rPr>
        <w:t xml:space="preserve">Lai K-P, Ng A H-M, Wan HT Wong A Y-M, Leung C C-T,Li R, Wong C K-C Dietary exposure to the environmental chemical , PFOS on the diversity of gut microbiota, associated with the development of metabolic syndrome. Frontiers in Microbiology 2018 </w:t>
      </w:r>
      <w:r w:rsidRPr="00F94FA9">
        <w:rPr>
          <w:rStyle w:val="SubtleReference"/>
          <w:b/>
          <w:smallCaps w:val="0"/>
          <w:color w:val="auto"/>
        </w:rPr>
        <w:t>9</w:t>
      </w:r>
      <w:r w:rsidRPr="00F94FA9">
        <w:rPr>
          <w:rStyle w:val="SubtleReference"/>
          <w:smallCaps w:val="0"/>
          <w:color w:val="auto"/>
        </w:rPr>
        <w:t xml:space="preserve"> 2552 doi10.3389/fmicb.2018.02552.</w:t>
      </w:r>
    </w:p>
    <w:p w:rsidR="00B373CF" w:rsidRPr="00B373CF" w:rsidRDefault="00B373CF" w:rsidP="00DC0CF2">
      <w:pPr>
        <w:spacing w:before="240"/>
        <w:rPr>
          <w:rStyle w:val="SubtleReference"/>
          <w:smallCaps w:val="0"/>
          <w:color w:val="auto"/>
        </w:rPr>
      </w:pPr>
      <w:r>
        <w:rPr>
          <w:rStyle w:val="SubtleReference"/>
          <w:smallCaps w:val="0"/>
          <w:color w:val="auto"/>
        </w:rPr>
        <w:t xml:space="preserve">Lawrence D, baldridge MT, Handley SA/ Phages and human health: more than idle hitchhikers. Viruses 2019 </w:t>
      </w:r>
      <w:r>
        <w:rPr>
          <w:rStyle w:val="SubtleReference"/>
          <w:b/>
          <w:bCs/>
          <w:smallCaps w:val="0"/>
          <w:color w:val="auto"/>
        </w:rPr>
        <w:t>11</w:t>
      </w:r>
      <w:r>
        <w:rPr>
          <w:rStyle w:val="SubtleReference"/>
          <w:smallCaps w:val="0"/>
          <w:color w:val="auto"/>
        </w:rPr>
        <w:t xml:space="preserve">: 587 </w:t>
      </w:r>
      <w:r w:rsidR="00615213">
        <w:rPr>
          <w:rStyle w:val="SubtleReference"/>
          <w:smallCaps w:val="0"/>
          <w:color w:val="auto"/>
        </w:rPr>
        <w:t>–</w:t>
      </w:r>
      <w:r>
        <w:rPr>
          <w:rStyle w:val="SubtleReference"/>
          <w:smallCaps w:val="0"/>
          <w:color w:val="auto"/>
        </w:rPr>
        <w:t xml:space="preserve"> </w:t>
      </w:r>
      <w:r w:rsidR="007B3C0B">
        <w:rPr>
          <w:rStyle w:val="SubtleReference"/>
          <w:smallCaps w:val="0"/>
          <w:color w:val="auto"/>
        </w:rPr>
        <w:t>592</w:t>
      </w:r>
      <w:r w:rsidR="00615213">
        <w:rPr>
          <w:rStyle w:val="SubtleReference"/>
          <w:smallCaps w:val="0"/>
          <w:color w:val="auto"/>
        </w:rPr>
        <w:t>.</w:t>
      </w:r>
    </w:p>
    <w:p w:rsidR="00A87258" w:rsidRDefault="00A87258" w:rsidP="00A87258">
      <w:pPr>
        <w:spacing w:before="240"/>
        <w:rPr>
          <w:szCs w:val="24"/>
        </w:rPr>
      </w:pPr>
      <w:r w:rsidRPr="00F94FA9">
        <w:rPr>
          <w:szCs w:val="24"/>
        </w:rPr>
        <w:t>Leclercq S, Mian FM, Stanisz AM, Bindels LB, Cambier E, Ben-Amram H, Koren O, Forsythe P, Bienenstock J. Low-dose penicillin in early life induces changes in murine gut bacteria, brain cytokines and behavior  Nature Communications 2017doi: 10.1038/ncomms150621.</w:t>
      </w:r>
    </w:p>
    <w:bookmarkStart w:id="10" w:name="h1"/>
    <w:bookmarkEnd w:id="10"/>
    <w:p w:rsidR="00A20581" w:rsidRPr="00070044" w:rsidRDefault="00A20581" w:rsidP="00A20581">
      <w:pPr>
        <w:shd w:val="clear" w:color="auto" w:fill="FFFFFF"/>
        <w:spacing w:line="330" w:lineRule="atLeast"/>
        <w:rPr>
          <w:rFonts w:cs="Arial"/>
          <w:color w:val="020202"/>
          <w:szCs w:val="24"/>
        </w:rPr>
      </w:pPr>
      <w:r w:rsidRPr="00341D94">
        <w:rPr>
          <w:rFonts w:cs="Arial"/>
          <w:color w:val="020202"/>
          <w:szCs w:val="24"/>
        </w:rPr>
        <w:fldChar w:fldCharType="begin"/>
      </w:r>
      <w:r w:rsidRPr="00341D94">
        <w:rPr>
          <w:rFonts w:cs="Arial"/>
          <w:color w:val="020202"/>
          <w:szCs w:val="24"/>
        </w:rPr>
        <w:instrText xml:space="preserve"> HYPERLINK "https://www.frontiersin.org/people/u/501628" </w:instrText>
      </w:r>
      <w:r w:rsidRPr="00341D94">
        <w:rPr>
          <w:rFonts w:cs="Arial"/>
          <w:color w:val="020202"/>
          <w:szCs w:val="24"/>
        </w:rPr>
        <w:fldChar w:fldCharType="separate"/>
      </w:r>
      <w:r w:rsidRPr="00341D94">
        <w:rPr>
          <w:rStyle w:val="Hyperlink"/>
          <w:rFonts w:cs="Arial"/>
          <w:color w:val="020202"/>
          <w:szCs w:val="24"/>
        </w:rPr>
        <w:t xml:space="preserve"> Leung</w:t>
      </w:r>
      <w:r w:rsidRPr="00341D94">
        <w:rPr>
          <w:rFonts w:cs="Arial"/>
          <w:color w:val="020202"/>
          <w:szCs w:val="24"/>
        </w:rPr>
        <w:fldChar w:fldCharType="end"/>
      </w:r>
      <w:r w:rsidRPr="00341D94">
        <w:rPr>
          <w:rFonts w:cs="Arial"/>
          <w:color w:val="020202"/>
          <w:szCs w:val="24"/>
        </w:rPr>
        <w:t xml:space="preserve"> JM, </w:t>
      </w:r>
      <w:hyperlink r:id="rId20" w:history="1">
        <w:r w:rsidRPr="00341D94">
          <w:rPr>
            <w:rStyle w:val="Hyperlink"/>
            <w:rFonts w:cs="Arial"/>
            <w:color w:val="020202"/>
            <w:szCs w:val="24"/>
          </w:rPr>
          <w:t xml:space="preserve"> Graham</w:t>
        </w:r>
      </w:hyperlink>
      <w:r w:rsidRPr="00341D94">
        <w:rPr>
          <w:rFonts w:cs="Arial"/>
          <w:color w:val="020202"/>
          <w:szCs w:val="24"/>
        </w:rPr>
        <w:t xml:space="preserve"> AL, Knowles SCL</w:t>
      </w:r>
      <w:r>
        <w:rPr>
          <w:rFonts w:cs="Arial"/>
          <w:color w:val="020202"/>
          <w:szCs w:val="24"/>
        </w:rPr>
        <w:t xml:space="preserve"> </w:t>
      </w:r>
      <w:r w:rsidRPr="00FC165B">
        <w:rPr>
          <w:rFonts w:cs="Arial"/>
          <w:color w:val="020202"/>
          <w:szCs w:val="24"/>
        </w:rPr>
        <w:t>Parasite-Microbiota Interactions With the Vertebrate Gut: Synthesis Through an Ecological Lens</w:t>
      </w:r>
      <w:r>
        <w:rPr>
          <w:rFonts w:cs="Arial"/>
          <w:color w:val="020202"/>
          <w:szCs w:val="24"/>
        </w:rPr>
        <w:t xml:space="preserve"> </w:t>
      </w:r>
      <w:r w:rsidRPr="00A20581">
        <w:rPr>
          <w:rFonts w:cs="Arial"/>
          <w:color w:val="020202"/>
          <w:szCs w:val="24"/>
        </w:rPr>
        <w:t xml:space="preserve"> </w:t>
      </w:r>
      <w:r w:rsidRPr="00070044">
        <w:rPr>
          <w:rFonts w:cs="Arial"/>
          <w:color w:val="020202"/>
          <w:szCs w:val="24"/>
        </w:rPr>
        <w:t>Front</w:t>
      </w:r>
      <w:r>
        <w:rPr>
          <w:rFonts w:cs="Arial"/>
          <w:color w:val="020202"/>
          <w:szCs w:val="24"/>
        </w:rPr>
        <w:t>iers of</w:t>
      </w:r>
      <w:r w:rsidRPr="00070044">
        <w:rPr>
          <w:rFonts w:cs="Arial"/>
          <w:color w:val="020202"/>
          <w:szCs w:val="24"/>
        </w:rPr>
        <w:t>. Microbiol</w:t>
      </w:r>
      <w:r>
        <w:rPr>
          <w:rFonts w:cs="Arial"/>
          <w:color w:val="020202"/>
          <w:szCs w:val="24"/>
        </w:rPr>
        <w:t>ogy</w:t>
      </w:r>
      <w:r w:rsidRPr="00070044">
        <w:rPr>
          <w:rFonts w:cs="Arial"/>
          <w:color w:val="020202"/>
          <w:szCs w:val="24"/>
        </w:rPr>
        <w:t>., 2018 |</w:t>
      </w:r>
      <w:r w:rsidRPr="00390AEE">
        <w:rPr>
          <w:rFonts w:cs="Arial"/>
          <w:color w:val="4472C4" w:themeColor="accent1"/>
          <w:szCs w:val="24"/>
        </w:rPr>
        <w:t> </w:t>
      </w:r>
      <w:hyperlink r:id="rId21" w:history="1">
        <w:r w:rsidRPr="00390AEE">
          <w:rPr>
            <w:rStyle w:val="Hyperlink"/>
            <w:rFonts w:cs="Arial"/>
            <w:color w:val="4472C4" w:themeColor="accent1"/>
            <w:szCs w:val="24"/>
          </w:rPr>
          <w:t>https://doi.org/10.3389/fmicb.2018.00843</w:t>
        </w:r>
      </w:hyperlink>
    </w:p>
    <w:p w:rsidR="00A87258" w:rsidRPr="00F94FA9" w:rsidRDefault="00A87258" w:rsidP="00A87258">
      <w:pPr>
        <w:spacing w:before="240"/>
        <w:rPr>
          <w:szCs w:val="24"/>
        </w:rPr>
      </w:pPr>
      <w:r w:rsidRPr="00F94FA9">
        <w:rPr>
          <w:szCs w:val="24"/>
        </w:rPr>
        <w:t>Ley R,</w:t>
      </w:r>
      <w:r w:rsidR="009C10B6" w:rsidRPr="00F94FA9">
        <w:rPr>
          <w:szCs w:val="24"/>
        </w:rPr>
        <w:t>B</w:t>
      </w:r>
      <w:r w:rsidR="009C10B6" w:rsidRPr="00F94FA9">
        <w:rPr>
          <w:rFonts w:cs="Arial"/>
          <w:szCs w:val="24"/>
        </w:rPr>
        <w:t>ä</w:t>
      </w:r>
      <w:r w:rsidRPr="00F94FA9">
        <w:rPr>
          <w:szCs w:val="24"/>
        </w:rPr>
        <w:t xml:space="preserve">ckhed </w:t>
      </w:r>
      <w:r w:rsidR="009C10B6" w:rsidRPr="00F94FA9">
        <w:rPr>
          <w:szCs w:val="24"/>
        </w:rPr>
        <w:t xml:space="preserve">F, </w:t>
      </w:r>
      <w:r w:rsidR="00836D2D">
        <w:rPr>
          <w:szCs w:val="24"/>
        </w:rPr>
        <w:t>T</w:t>
      </w:r>
      <w:r w:rsidR="009C10B6" w:rsidRPr="00F94FA9">
        <w:rPr>
          <w:szCs w:val="24"/>
        </w:rPr>
        <w:t xml:space="preserve">urnbaugh P, Lozupone CA, Knight RD, Gordon JI. Obesity alters gut microbial ecology. PNAS 2005 </w:t>
      </w:r>
      <w:r w:rsidR="009C10B6" w:rsidRPr="00F94FA9">
        <w:rPr>
          <w:b/>
          <w:szCs w:val="24"/>
        </w:rPr>
        <w:t>102</w:t>
      </w:r>
      <w:r w:rsidR="009C10B6" w:rsidRPr="00F94FA9">
        <w:rPr>
          <w:szCs w:val="24"/>
        </w:rPr>
        <w:t xml:space="preserve">: 11070 </w:t>
      </w:r>
      <w:r w:rsidR="00615213">
        <w:rPr>
          <w:szCs w:val="24"/>
        </w:rPr>
        <w:t>–</w:t>
      </w:r>
      <w:r w:rsidR="009C10B6" w:rsidRPr="00F94FA9">
        <w:rPr>
          <w:szCs w:val="24"/>
        </w:rPr>
        <w:t xml:space="preserve"> 11075</w:t>
      </w:r>
      <w:r w:rsidR="00615213">
        <w:rPr>
          <w:szCs w:val="24"/>
        </w:rPr>
        <w:t>.</w:t>
      </w:r>
    </w:p>
    <w:p w:rsidR="00F55126" w:rsidRPr="00F94FA9" w:rsidRDefault="00F55126" w:rsidP="00DC0CF2">
      <w:pPr>
        <w:spacing w:before="240"/>
        <w:rPr>
          <w:rStyle w:val="SubtleReference"/>
          <w:smallCaps w:val="0"/>
          <w:color w:val="auto"/>
        </w:rPr>
      </w:pPr>
      <w:r w:rsidRPr="00F94FA9">
        <w:rPr>
          <w:rStyle w:val="SubtleReference"/>
          <w:smallCaps w:val="0"/>
          <w:color w:val="auto"/>
        </w:rPr>
        <w:t xml:space="preserve">Li CY, Lee S, Cade S, Kuo L-J, Schulz IR, Bhatt DK, Prasan B, Bammler TK, Cui JY. Novel interactions between gut microbiome and host drug-processing genes modify the hepatic metabolism of the environmental chemicals polybrominated diphenyl ethers. Drug metabolism and Disposition 2017 </w:t>
      </w:r>
      <w:r w:rsidRPr="00F94FA9">
        <w:rPr>
          <w:rStyle w:val="SubtleReference"/>
          <w:b/>
          <w:smallCaps w:val="0"/>
          <w:color w:val="auto"/>
        </w:rPr>
        <w:t>45</w:t>
      </w:r>
      <w:r w:rsidRPr="00F94FA9">
        <w:rPr>
          <w:rStyle w:val="SubtleReference"/>
          <w:smallCaps w:val="0"/>
          <w:color w:val="auto"/>
        </w:rPr>
        <w:t>: 1197 – 1214</w:t>
      </w:r>
      <w:r w:rsidR="00615213">
        <w:rPr>
          <w:rStyle w:val="SubtleReference"/>
          <w:smallCaps w:val="0"/>
          <w:color w:val="auto"/>
        </w:rPr>
        <w:t>.</w:t>
      </w:r>
    </w:p>
    <w:p w:rsidR="00D8136A" w:rsidRPr="00F94FA9" w:rsidRDefault="00D8136A" w:rsidP="00DD19CC">
      <w:pPr>
        <w:pStyle w:val="ListParagraph"/>
        <w:spacing w:before="240"/>
        <w:ind w:left="0"/>
      </w:pPr>
      <w:r w:rsidRPr="00F94FA9">
        <w:t>Li H, Jia W. Co</w:t>
      </w:r>
      <w:r w:rsidR="0069507E">
        <w:t>-</w:t>
      </w:r>
      <w:r w:rsidRPr="00F94FA9">
        <w:t xml:space="preserve">metabolism of microbes and host: implications for drug metabolism and drug-induced toxicity. Clinical Pharmacology and Therapeutics 2013 </w:t>
      </w:r>
      <w:r w:rsidRPr="00F94FA9">
        <w:rPr>
          <w:b/>
        </w:rPr>
        <w:t>94</w:t>
      </w:r>
      <w:r w:rsidRPr="00F94FA9">
        <w:t>(5): 574 – 581.</w:t>
      </w:r>
    </w:p>
    <w:p w:rsidR="00D8136A" w:rsidRPr="00F94FA9" w:rsidRDefault="00D8136A" w:rsidP="00DD19CC">
      <w:pPr>
        <w:pStyle w:val="ListParagraph"/>
        <w:spacing w:before="240"/>
        <w:ind w:left="0"/>
      </w:pPr>
    </w:p>
    <w:p w:rsidR="00D8136A" w:rsidRPr="00F94FA9" w:rsidRDefault="00D8136A" w:rsidP="00DD19CC">
      <w:pPr>
        <w:pStyle w:val="ListParagraph"/>
        <w:spacing w:before="240"/>
        <w:ind w:left="0"/>
        <w:rPr>
          <w:rFonts w:cs="Arial"/>
          <w:szCs w:val="24"/>
          <w:shd w:val="clear" w:color="auto" w:fill="FFFFFF"/>
        </w:rPr>
      </w:pPr>
      <w:r w:rsidRPr="00F94FA9">
        <w:rPr>
          <w:szCs w:val="24"/>
        </w:rPr>
        <w:t xml:space="preserve">Li H, Lin X, Zhao J, Cui L, Wang L, Gao Y, Li B, Chen C, Li Y-F. Intestinal methylation and demethylation of mercury. </w:t>
      </w:r>
      <w:r w:rsidR="00F3088C" w:rsidRPr="00F94FA9">
        <w:rPr>
          <w:rFonts w:cs="Arial"/>
          <w:szCs w:val="24"/>
          <w:shd w:val="clear" w:color="auto" w:fill="FFFFFF"/>
        </w:rPr>
        <w:t>Bulletin</w:t>
      </w:r>
      <w:r w:rsidR="000926B4" w:rsidRPr="00F94FA9">
        <w:rPr>
          <w:rFonts w:cs="Arial"/>
          <w:szCs w:val="24"/>
          <w:shd w:val="clear" w:color="auto" w:fill="FFFFFF"/>
        </w:rPr>
        <w:t xml:space="preserve"> </w:t>
      </w:r>
      <w:r w:rsidR="00F3088C" w:rsidRPr="00F94FA9">
        <w:rPr>
          <w:rFonts w:cs="Arial"/>
          <w:szCs w:val="24"/>
          <w:shd w:val="clear" w:color="auto" w:fill="FFFFFF"/>
        </w:rPr>
        <w:t>of Environ</w:t>
      </w:r>
      <w:r w:rsidR="000926B4" w:rsidRPr="00F94FA9">
        <w:rPr>
          <w:rFonts w:cs="Arial"/>
          <w:szCs w:val="24"/>
          <w:shd w:val="clear" w:color="auto" w:fill="FFFFFF"/>
        </w:rPr>
        <w:t>mental</w:t>
      </w:r>
      <w:r w:rsidR="00F3088C" w:rsidRPr="00F94FA9">
        <w:rPr>
          <w:rFonts w:cs="Arial"/>
          <w:szCs w:val="24"/>
          <w:shd w:val="clear" w:color="auto" w:fill="FFFFFF"/>
        </w:rPr>
        <w:t xml:space="preserve"> Contam</w:t>
      </w:r>
      <w:r w:rsidR="000926B4" w:rsidRPr="00F94FA9">
        <w:rPr>
          <w:rFonts w:cs="Arial"/>
          <w:szCs w:val="24"/>
          <w:shd w:val="clear" w:color="auto" w:fill="FFFFFF"/>
        </w:rPr>
        <w:t xml:space="preserve">ination and </w:t>
      </w:r>
      <w:r w:rsidR="00F3088C" w:rsidRPr="00F94FA9">
        <w:rPr>
          <w:rFonts w:cs="Arial"/>
          <w:szCs w:val="24"/>
          <w:shd w:val="clear" w:color="auto" w:fill="FFFFFF"/>
        </w:rPr>
        <w:t>Toxicol</w:t>
      </w:r>
      <w:r w:rsidR="000926B4" w:rsidRPr="00F94FA9">
        <w:rPr>
          <w:rFonts w:cs="Arial"/>
          <w:szCs w:val="24"/>
          <w:shd w:val="clear" w:color="auto" w:fill="FFFFFF"/>
        </w:rPr>
        <w:t>ogy</w:t>
      </w:r>
      <w:r w:rsidR="00F3088C" w:rsidRPr="00F94FA9">
        <w:rPr>
          <w:rFonts w:cs="Arial"/>
          <w:szCs w:val="24"/>
          <w:shd w:val="clear" w:color="auto" w:fill="FFFFFF"/>
        </w:rPr>
        <w:t> 2019</w:t>
      </w:r>
      <w:r w:rsidR="000926B4" w:rsidRPr="00F94FA9">
        <w:rPr>
          <w:rFonts w:cs="Arial"/>
          <w:szCs w:val="24"/>
          <w:shd w:val="clear" w:color="auto" w:fill="FFFFFF"/>
        </w:rPr>
        <w:t xml:space="preserve"> </w:t>
      </w:r>
      <w:r w:rsidR="00F3088C" w:rsidRPr="00F94FA9">
        <w:rPr>
          <w:rFonts w:cs="Arial"/>
          <w:b/>
          <w:szCs w:val="24"/>
          <w:shd w:val="clear" w:color="auto" w:fill="FFFFFF"/>
        </w:rPr>
        <w:t>102</w:t>
      </w:r>
      <w:r w:rsidR="00F3088C" w:rsidRPr="00F94FA9">
        <w:rPr>
          <w:rFonts w:cs="Arial"/>
          <w:szCs w:val="24"/>
          <w:shd w:val="clear" w:color="auto" w:fill="FFFFFF"/>
        </w:rPr>
        <w:t>(5):597</w:t>
      </w:r>
      <w:r w:rsidR="000926B4" w:rsidRPr="00F94FA9">
        <w:rPr>
          <w:rFonts w:cs="Arial"/>
          <w:szCs w:val="24"/>
          <w:shd w:val="clear" w:color="auto" w:fill="FFFFFF"/>
        </w:rPr>
        <w:t xml:space="preserve"> - </w:t>
      </w:r>
      <w:r w:rsidR="00F3088C" w:rsidRPr="00F94FA9">
        <w:rPr>
          <w:rFonts w:cs="Arial"/>
          <w:szCs w:val="24"/>
          <w:shd w:val="clear" w:color="auto" w:fill="FFFFFF"/>
        </w:rPr>
        <w:t>604.</w:t>
      </w:r>
    </w:p>
    <w:p w:rsidR="0037784E" w:rsidRPr="00F94FA9" w:rsidRDefault="0037784E" w:rsidP="00DD19CC">
      <w:pPr>
        <w:pStyle w:val="ListParagraph"/>
        <w:spacing w:before="240"/>
        <w:ind w:left="0"/>
        <w:rPr>
          <w:szCs w:val="24"/>
        </w:rPr>
      </w:pPr>
    </w:p>
    <w:p w:rsidR="0037784E" w:rsidRPr="00F94FA9" w:rsidRDefault="0037784E" w:rsidP="00DD19CC">
      <w:pPr>
        <w:pStyle w:val="ListParagraph"/>
        <w:spacing w:before="240"/>
        <w:ind w:left="0"/>
        <w:rPr>
          <w:szCs w:val="24"/>
        </w:rPr>
      </w:pPr>
      <w:r w:rsidRPr="00F94FA9">
        <w:rPr>
          <w:szCs w:val="24"/>
        </w:rPr>
        <w:t xml:space="preserve">Liang X, Bittinger K, Li X, Abernethy DR, Bushman FD, FitzGerald GA. Bidirectional interactions between indomethacin and the murine microbiota. eLife 2015 </w:t>
      </w:r>
      <w:r w:rsidRPr="00F94FA9">
        <w:rPr>
          <w:b/>
          <w:szCs w:val="24"/>
        </w:rPr>
        <w:t>4</w:t>
      </w:r>
      <w:r w:rsidRPr="00F94FA9">
        <w:rPr>
          <w:szCs w:val="24"/>
        </w:rPr>
        <w:t>: e08973 doi:10.7554/eLife.08973</w:t>
      </w:r>
      <w:r w:rsidR="00615213">
        <w:rPr>
          <w:szCs w:val="24"/>
        </w:rPr>
        <w:t>.</w:t>
      </w:r>
    </w:p>
    <w:p w:rsidR="00D8136A" w:rsidRPr="00F94FA9" w:rsidRDefault="00D8136A" w:rsidP="00DD19CC">
      <w:pPr>
        <w:pStyle w:val="ListParagraph"/>
        <w:spacing w:before="240"/>
        <w:ind w:left="0"/>
        <w:rPr>
          <w:szCs w:val="24"/>
        </w:rPr>
      </w:pPr>
    </w:p>
    <w:p w:rsidR="00D8136A" w:rsidRPr="00F94FA9" w:rsidRDefault="00D8136A" w:rsidP="009149E2">
      <w:pPr>
        <w:pStyle w:val="ListParagraph"/>
        <w:ind w:left="0"/>
      </w:pPr>
      <w:bookmarkStart w:id="11" w:name="_Hlk40179166"/>
      <w:r w:rsidRPr="00F94FA9">
        <w:t xml:space="preserve">Liang Y, Zhan J, Liu D, Luo M, Han J, Liu X, Liu G, Cheng Z, Zhou, Z, Wang P. Organophosphorus pesticide chlorpyrifos intake promotes obesity and insulin resistance through impacting gut and gut microbiota. Microbiome 2019 </w:t>
      </w:r>
      <w:r w:rsidRPr="00F94FA9">
        <w:rPr>
          <w:b/>
        </w:rPr>
        <w:t>7</w:t>
      </w:r>
      <w:r w:rsidRPr="00F94FA9">
        <w:t>: 19 – 33</w:t>
      </w:r>
      <w:r w:rsidR="00F3088C" w:rsidRPr="00F94FA9">
        <w:t>.</w:t>
      </w:r>
    </w:p>
    <w:bookmarkEnd w:id="11"/>
    <w:p w:rsidR="00D8136A" w:rsidRPr="00F94FA9" w:rsidRDefault="00D8136A" w:rsidP="00DD19CC">
      <w:pPr>
        <w:spacing w:before="240"/>
      </w:pPr>
      <w:r w:rsidRPr="00F94FA9">
        <w:t xml:space="preserve">Licht TR and Bahl MI. Impact of the gut microbiota on chemical risk assessment. Current Opinion in Toxicology. 2015. </w:t>
      </w:r>
      <w:hyperlink r:id="rId22" w:history="1">
        <w:r w:rsidRPr="00F94FA9">
          <w:rPr>
            <w:rStyle w:val="Hyperlink"/>
            <w:color w:val="auto"/>
          </w:rPr>
          <w:t>http://doi.org.10.1016/j.cotox.2018.09.004</w:t>
        </w:r>
      </w:hyperlink>
      <w:r w:rsidR="00F3088C" w:rsidRPr="00F94FA9">
        <w:rPr>
          <w:rStyle w:val="Hyperlink"/>
          <w:color w:val="auto"/>
        </w:rPr>
        <w:t>.</w:t>
      </w:r>
    </w:p>
    <w:p w:rsidR="00D8136A" w:rsidRDefault="00D8136A" w:rsidP="00DD19CC">
      <w:pPr>
        <w:pStyle w:val="ListParagraph"/>
        <w:spacing w:before="240"/>
        <w:ind w:left="0"/>
        <w:rPr>
          <w:szCs w:val="24"/>
        </w:rPr>
      </w:pPr>
      <w:r w:rsidRPr="00F94FA9">
        <w:rPr>
          <w:szCs w:val="24"/>
        </w:rPr>
        <w:t xml:space="preserve">Liew W-P-P, Mohd-Rezwan S, Than LTL. Gut microbiota profiling of aflatoxinB1-induced rats treated with </w:t>
      </w:r>
      <w:r w:rsidRPr="00F94FA9">
        <w:rPr>
          <w:i/>
          <w:szCs w:val="24"/>
        </w:rPr>
        <w:t>Lactobacillus caset</w:t>
      </w:r>
      <w:r w:rsidRPr="00F94FA9">
        <w:rPr>
          <w:szCs w:val="24"/>
        </w:rPr>
        <w:t xml:space="preserve"> Shirota. Toxins 2019</w:t>
      </w:r>
      <w:r w:rsidR="00393AD4">
        <w:rPr>
          <w:szCs w:val="24"/>
        </w:rPr>
        <w:t xml:space="preserve"> </w:t>
      </w:r>
      <w:r w:rsidRPr="00F94FA9">
        <w:rPr>
          <w:b/>
          <w:szCs w:val="24"/>
        </w:rPr>
        <w:t>11</w:t>
      </w:r>
      <w:r w:rsidRPr="00F94FA9">
        <w:rPr>
          <w:szCs w:val="24"/>
        </w:rPr>
        <w:t>:49 – 64.</w:t>
      </w:r>
    </w:p>
    <w:p w:rsidR="007766FF" w:rsidRDefault="007766FF" w:rsidP="00DD19CC">
      <w:pPr>
        <w:pStyle w:val="ListParagraph"/>
        <w:spacing w:before="240"/>
        <w:ind w:left="0"/>
        <w:rPr>
          <w:szCs w:val="24"/>
        </w:rPr>
      </w:pPr>
    </w:p>
    <w:p w:rsidR="007766FF" w:rsidRPr="007766FF" w:rsidRDefault="007766FF" w:rsidP="00DD19CC">
      <w:pPr>
        <w:pStyle w:val="ListParagraph"/>
        <w:spacing w:before="240"/>
        <w:ind w:left="0"/>
        <w:rPr>
          <w:szCs w:val="24"/>
        </w:rPr>
      </w:pPr>
      <w:r>
        <w:rPr>
          <w:szCs w:val="24"/>
        </w:rPr>
        <w:t xml:space="preserve">Lim ES, Zhou Y, Zhao G, Bauer IK, Droit L, Ndao IM, Warner BB, Tarr PI, Wang D, Holtz LR. Early life dynamics of the human gut virome and bacterial microbiome in infants. Mature Medicine 2015 </w:t>
      </w:r>
      <w:r>
        <w:rPr>
          <w:b/>
          <w:bCs/>
          <w:szCs w:val="24"/>
        </w:rPr>
        <w:t>21</w:t>
      </w:r>
      <w:r>
        <w:rPr>
          <w:szCs w:val="24"/>
        </w:rPr>
        <w:t>(10): 1228 – 1234.</w:t>
      </w:r>
    </w:p>
    <w:p w:rsidR="000F2630" w:rsidRPr="00F94FA9" w:rsidRDefault="000F2630" w:rsidP="00DD19CC">
      <w:pPr>
        <w:pStyle w:val="ListParagraph"/>
        <w:spacing w:before="240"/>
        <w:ind w:left="0"/>
        <w:rPr>
          <w:szCs w:val="24"/>
        </w:rPr>
      </w:pPr>
    </w:p>
    <w:p w:rsidR="00D8136A" w:rsidRPr="00F94FA9" w:rsidRDefault="00D8136A" w:rsidP="009149E2">
      <w:pPr>
        <w:pStyle w:val="ListParagraph"/>
        <w:spacing w:before="240"/>
        <w:ind w:left="0"/>
      </w:pPr>
      <w:r w:rsidRPr="00F94FA9">
        <w:t xml:space="preserve">Liu Q, Shao W, Zhang C, Xu C, Wang Q, Liu H, Sun H, Jiang Z, Gu A. Organochloride pesticides modulated gut microbiota and influenced bile acid metabolism in mice. Environmental Pollution 2017 </w:t>
      </w:r>
      <w:r w:rsidRPr="00F94FA9">
        <w:rPr>
          <w:b/>
        </w:rPr>
        <w:t>226</w:t>
      </w:r>
      <w:r w:rsidRPr="00F94FA9">
        <w:t xml:space="preserve">: 268 </w:t>
      </w:r>
      <w:r w:rsidR="00F3088C" w:rsidRPr="00F94FA9">
        <w:t>–</w:t>
      </w:r>
      <w:r w:rsidRPr="00F94FA9">
        <w:t xml:space="preserve"> 276</w:t>
      </w:r>
      <w:r w:rsidR="00F3088C" w:rsidRPr="00F94FA9">
        <w:t>.</w:t>
      </w:r>
    </w:p>
    <w:p w:rsidR="00D8136A" w:rsidRPr="00F94FA9" w:rsidRDefault="00D8136A" w:rsidP="00812453">
      <w:pPr>
        <w:spacing w:before="240"/>
      </w:pPr>
      <w:r w:rsidRPr="00F94FA9">
        <w:t xml:space="preserve">Liu Y, Li Y, Liu K, Shen J. Exposing to cadmium stress cause profound toxic effect on microbiota of the mice intestinal tract. PLOS One 2014 </w:t>
      </w:r>
      <w:r w:rsidRPr="00F94FA9">
        <w:rPr>
          <w:b/>
        </w:rPr>
        <w:t>9</w:t>
      </w:r>
      <w:r w:rsidRPr="00F94FA9">
        <w:t>(2): e85323</w:t>
      </w:r>
      <w:r w:rsidR="00F3088C" w:rsidRPr="00F94FA9">
        <w:t>.</w:t>
      </w:r>
    </w:p>
    <w:p w:rsidR="00D8136A" w:rsidRDefault="00D8136A" w:rsidP="00CE7094">
      <w:pPr>
        <w:pStyle w:val="ListParagraph"/>
        <w:spacing w:before="240"/>
        <w:ind w:left="0"/>
        <w:rPr>
          <w:szCs w:val="24"/>
        </w:rPr>
      </w:pPr>
      <w:r w:rsidRPr="00F94FA9">
        <w:rPr>
          <w:szCs w:val="24"/>
        </w:rPr>
        <w:t xml:space="preserve">Lobach AR, Roberts A, </w:t>
      </w:r>
      <w:r w:rsidR="00836D2D" w:rsidRPr="00F94FA9">
        <w:rPr>
          <w:szCs w:val="24"/>
        </w:rPr>
        <w:t>Rowland</w:t>
      </w:r>
      <w:r w:rsidRPr="00F94FA9">
        <w:rPr>
          <w:szCs w:val="24"/>
        </w:rPr>
        <w:t xml:space="preserve"> IR. Assessing the </w:t>
      </w:r>
      <w:r w:rsidRPr="00F94FA9">
        <w:rPr>
          <w:i/>
          <w:szCs w:val="24"/>
        </w:rPr>
        <w:t>in vivo</w:t>
      </w:r>
      <w:r w:rsidRPr="00F94FA9">
        <w:rPr>
          <w:szCs w:val="24"/>
        </w:rPr>
        <w:t xml:space="preserve"> data on low/ no-calorie sweeteners and the gut microbiota. Food and Chemical Toxicology 2019 </w:t>
      </w:r>
      <w:r w:rsidRPr="00F94FA9">
        <w:rPr>
          <w:b/>
          <w:szCs w:val="24"/>
        </w:rPr>
        <w:t>124</w:t>
      </w:r>
      <w:r w:rsidRPr="00F94FA9">
        <w:rPr>
          <w:szCs w:val="24"/>
        </w:rPr>
        <w:t>: 385 – 399.</w:t>
      </w:r>
    </w:p>
    <w:p w:rsidR="00440ABB" w:rsidRDefault="00440ABB" w:rsidP="00CE7094">
      <w:pPr>
        <w:pStyle w:val="ListParagraph"/>
        <w:spacing w:before="240"/>
        <w:ind w:left="0"/>
        <w:rPr>
          <w:szCs w:val="24"/>
        </w:rPr>
      </w:pPr>
    </w:p>
    <w:p w:rsidR="00440ABB" w:rsidRPr="00321BD9" w:rsidRDefault="00440ABB" w:rsidP="00CE7094">
      <w:pPr>
        <w:pStyle w:val="ListParagraph"/>
        <w:spacing w:before="240"/>
        <w:ind w:left="0"/>
        <w:rPr>
          <w:szCs w:val="24"/>
        </w:rPr>
      </w:pPr>
      <w:r>
        <w:rPr>
          <w:szCs w:val="24"/>
        </w:rPr>
        <w:t xml:space="preserve">Loke P, Lim YAL A commensal protozoan strikes a balance in the gut. Cell, Host and Microbe  2016 </w:t>
      </w:r>
      <w:r>
        <w:rPr>
          <w:b/>
          <w:bCs/>
          <w:szCs w:val="24"/>
        </w:rPr>
        <w:t>20</w:t>
      </w:r>
      <w:r w:rsidR="00321BD9">
        <w:rPr>
          <w:szCs w:val="24"/>
        </w:rPr>
        <w:t xml:space="preserve"> 417 – 419.</w:t>
      </w:r>
    </w:p>
    <w:p w:rsidR="009C407F" w:rsidRDefault="009C407F" w:rsidP="00CE7094">
      <w:pPr>
        <w:pStyle w:val="ListParagraph"/>
        <w:spacing w:before="240"/>
        <w:ind w:left="0"/>
        <w:rPr>
          <w:szCs w:val="24"/>
        </w:rPr>
      </w:pPr>
    </w:p>
    <w:p w:rsidR="009C407F" w:rsidRPr="009C407F" w:rsidRDefault="009C407F" w:rsidP="00CE7094">
      <w:pPr>
        <w:pStyle w:val="ListParagraph"/>
        <w:spacing w:before="240"/>
        <w:ind w:left="0"/>
        <w:rPr>
          <w:szCs w:val="24"/>
        </w:rPr>
      </w:pPr>
      <w:r>
        <w:rPr>
          <w:szCs w:val="24"/>
        </w:rPr>
        <w:t>Lokmer A, Clan A, Froment A, Gantols N, Viscogliosi E, Chab</w:t>
      </w:r>
      <w:r>
        <w:rPr>
          <w:rFonts w:cs="Arial"/>
          <w:szCs w:val="24"/>
        </w:rPr>
        <w:t>é</w:t>
      </w:r>
      <w:r>
        <w:rPr>
          <w:szCs w:val="24"/>
        </w:rPr>
        <w:t xml:space="preserve"> M, S</w:t>
      </w:r>
      <w:r>
        <w:rPr>
          <w:rFonts w:cs="Arial"/>
          <w:szCs w:val="24"/>
        </w:rPr>
        <w:t>é</w:t>
      </w:r>
      <w:r>
        <w:rPr>
          <w:szCs w:val="24"/>
        </w:rPr>
        <w:t xml:space="preserve">gurel L.Use of shotgun metagenomics for the identification of protozoa in the gut microbiota of healthy individuals from worldwide populations with various industrialization levels. PLOS One </w:t>
      </w:r>
      <w:r>
        <w:rPr>
          <w:b/>
          <w:bCs/>
          <w:szCs w:val="24"/>
        </w:rPr>
        <w:t>14</w:t>
      </w:r>
      <w:r>
        <w:rPr>
          <w:szCs w:val="24"/>
        </w:rPr>
        <w:t>(2): e0211139.</w:t>
      </w:r>
    </w:p>
    <w:p w:rsidR="00D8136A" w:rsidRPr="00F94FA9" w:rsidRDefault="00D8136A" w:rsidP="00CE7094">
      <w:pPr>
        <w:pStyle w:val="ListParagraph"/>
        <w:spacing w:before="240"/>
        <w:ind w:left="0"/>
        <w:rPr>
          <w:szCs w:val="24"/>
        </w:rPr>
      </w:pPr>
    </w:p>
    <w:p w:rsidR="00D8136A" w:rsidRPr="00F94FA9" w:rsidRDefault="00D8136A" w:rsidP="00DD19CC">
      <w:pPr>
        <w:pStyle w:val="ListParagraph"/>
        <w:spacing w:before="240"/>
        <w:ind w:left="0"/>
      </w:pPr>
      <w:r w:rsidRPr="00F94FA9">
        <w:t xml:space="preserve">Lowe P, Gyongyosi B, Satishchandran A, Iracheta-Vellve A, Ambade A, Kodys K, Catalano D, Ward DV, Szabo G. Alcohol-related changes in the intestinal microbiome influence neutrophil infiltration, inflammation and steatosis in early alcoholic hepatitis in mice. PLOS One 2017 </w:t>
      </w:r>
      <w:r w:rsidRPr="00F94FA9">
        <w:rPr>
          <w:b/>
        </w:rPr>
        <w:t>12</w:t>
      </w:r>
      <w:r w:rsidRPr="00F94FA9">
        <w:t>(3):e174544</w:t>
      </w:r>
      <w:r w:rsidR="00F3088C" w:rsidRPr="00F94FA9">
        <w:t>.</w:t>
      </w:r>
    </w:p>
    <w:p w:rsidR="00D8136A" w:rsidRPr="00F94FA9" w:rsidRDefault="00D8136A" w:rsidP="00DD19CC">
      <w:pPr>
        <w:pStyle w:val="ListParagraph"/>
        <w:spacing w:before="240"/>
        <w:ind w:left="0"/>
      </w:pPr>
    </w:p>
    <w:p w:rsidR="00D8136A" w:rsidRPr="00F94FA9" w:rsidRDefault="00D8136A" w:rsidP="00DD19CC">
      <w:pPr>
        <w:pStyle w:val="ListParagraph"/>
        <w:spacing w:before="240"/>
        <w:ind w:left="0"/>
      </w:pPr>
      <w:r w:rsidRPr="00F94FA9">
        <w:t xml:space="preserve">Lowe P, Gyongyosi B, Satishchandran A, Iracheta-Vellve A, Cho Y, Ambade A, Szabo G. Reduced gut microbiome protects from alcohol-induced neuroinflammation and alters intestinal and brain inflammasome expression. Journal of Neuroinflammation 2018 </w:t>
      </w:r>
      <w:r w:rsidRPr="00F94FA9">
        <w:rPr>
          <w:b/>
        </w:rPr>
        <w:t>15</w:t>
      </w:r>
      <w:r w:rsidRPr="00F94FA9">
        <w:t>: 298 – 309</w:t>
      </w:r>
      <w:r w:rsidR="00F3088C" w:rsidRPr="00F94FA9">
        <w:t>.</w:t>
      </w:r>
    </w:p>
    <w:p w:rsidR="00D8136A" w:rsidRPr="00F94FA9" w:rsidRDefault="00D8136A" w:rsidP="00540FEA">
      <w:pPr>
        <w:spacing w:before="240"/>
        <w:rPr>
          <w:szCs w:val="24"/>
        </w:rPr>
      </w:pPr>
      <w:r w:rsidRPr="00F94FA9">
        <w:rPr>
          <w:szCs w:val="24"/>
        </w:rPr>
        <w:t>Lozano VL, Defarge N, Rocque l-M, Mesnage R, Hennequin D, Cassier R, Spiroux de Vend</w:t>
      </w:r>
      <w:r w:rsidRPr="00F94FA9">
        <w:rPr>
          <w:rFonts w:cs="Arial"/>
          <w:szCs w:val="24"/>
        </w:rPr>
        <w:t>ô</w:t>
      </w:r>
      <w:r w:rsidRPr="00F94FA9">
        <w:rPr>
          <w:szCs w:val="24"/>
        </w:rPr>
        <w:t>mois L, Panoff J-M, S</w:t>
      </w:r>
      <w:r w:rsidRPr="00F94FA9">
        <w:rPr>
          <w:rFonts w:cs="Arial"/>
          <w:szCs w:val="24"/>
        </w:rPr>
        <w:t>é</w:t>
      </w:r>
      <w:r w:rsidRPr="00F94FA9">
        <w:rPr>
          <w:szCs w:val="24"/>
        </w:rPr>
        <w:t xml:space="preserve">ralini G-E, Amiel C. Sex-dependent impact of Roundup on the rat gut microbiome. Toxicology Reports 2018 </w:t>
      </w:r>
      <w:r w:rsidRPr="00F94FA9">
        <w:rPr>
          <w:b/>
          <w:szCs w:val="24"/>
        </w:rPr>
        <w:t>5</w:t>
      </w:r>
      <w:r w:rsidRPr="00F94FA9">
        <w:rPr>
          <w:szCs w:val="24"/>
        </w:rPr>
        <w:t>: 96 – 107</w:t>
      </w:r>
      <w:r w:rsidR="00F3088C" w:rsidRPr="00F94FA9">
        <w:rPr>
          <w:szCs w:val="24"/>
        </w:rPr>
        <w:t>.</w:t>
      </w:r>
    </w:p>
    <w:p w:rsidR="00527C99" w:rsidRDefault="00527C99" w:rsidP="00DC0CF2">
      <w:r w:rsidRPr="00F94FA9">
        <w:t xml:space="preserve">Lu L, Wan Z, Luo T, Fu Z, Jin Y. Polystyrene microplastics induce gut </w:t>
      </w:r>
      <w:r w:rsidR="00836D2D" w:rsidRPr="00F94FA9">
        <w:t>microbiota</w:t>
      </w:r>
      <w:r w:rsidRPr="00F94FA9">
        <w:t xml:space="preserve"> dysbiosis and hepatic lipid metabolism disorder in mice. Science of the Total Environment 2018 </w:t>
      </w:r>
      <w:r w:rsidRPr="00F94FA9">
        <w:rPr>
          <w:b/>
        </w:rPr>
        <w:t>631 – 632</w:t>
      </w:r>
      <w:r w:rsidRPr="00F94FA9">
        <w:t>: 449 – 458.</w:t>
      </w:r>
    </w:p>
    <w:p w:rsidR="005F3AEB" w:rsidRPr="005F3AEB" w:rsidRDefault="005F3AEB" w:rsidP="00DC0CF2">
      <w:r>
        <w:t xml:space="preserve">Luan C, Miao H, Zhu B. Gut mycobiota and adenomas. Gut Microbes 2015 </w:t>
      </w:r>
      <w:r>
        <w:rPr>
          <w:b/>
          <w:bCs/>
        </w:rPr>
        <w:t>65</w:t>
      </w:r>
      <w:r>
        <w:t>: 331 – 333.</w:t>
      </w:r>
    </w:p>
    <w:p w:rsidR="00390AEE" w:rsidRDefault="00D8136A" w:rsidP="00D8136A">
      <w:r w:rsidRPr="00F94FA9">
        <w:t xml:space="preserve">Mahalhal A, Williams JM, Johnson JS, Ellaby N, Duckworth CA, Burkitt MD, Liu X, Hold GL, Campbell BJ, Pritchard DM, Probert CS/ PLOS One 2018 13(10) </w:t>
      </w:r>
    </w:p>
    <w:p w:rsidR="00D8136A" w:rsidRDefault="00323507" w:rsidP="00D8136A">
      <w:pPr>
        <w:rPr>
          <w:rStyle w:val="Hyperlink"/>
          <w:color w:val="auto"/>
        </w:rPr>
      </w:pPr>
      <w:hyperlink r:id="rId23" w:history="1">
        <w:r w:rsidR="00390AEE" w:rsidRPr="006935DC">
          <w:rPr>
            <w:rStyle w:val="Hyperlink"/>
          </w:rPr>
          <w:t>https://doi.org/10.1371/journal.pone.0202460</w:t>
        </w:r>
      </w:hyperlink>
      <w:r w:rsidR="00F3088C" w:rsidRPr="00F94FA9">
        <w:rPr>
          <w:rStyle w:val="Hyperlink"/>
          <w:color w:val="auto"/>
        </w:rPr>
        <w:t>.</w:t>
      </w:r>
    </w:p>
    <w:p w:rsidR="00390AEE" w:rsidRDefault="00390AEE" w:rsidP="00D8136A">
      <w:pPr>
        <w:rPr>
          <w:rStyle w:val="Hyperlink"/>
          <w:color w:val="auto"/>
        </w:rPr>
      </w:pPr>
    </w:p>
    <w:p w:rsidR="00495601" w:rsidRPr="00495601" w:rsidRDefault="00495601" w:rsidP="00D8136A">
      <w:pPr>
        <w:rPr>
          <w:rStyle w:val="Hyperlink"/>
          <w:color w:val="auto"/>
          <w:u w:val="none"/>
        </w:rPr>
      </w:pPr>
      <w:r>
        <w:rPr>
          <w:rStyle w:val="Hyperlink"/>
          <w:color w:val="auto"/>
          <w:u w:val="none"/>
        </w:rPr>
        <w:t xml:space="preserve">Maier L, Pruteanu M, Kuhn M, Zeller G, Telzerow A, Anderson EE, Brochado AR, Fernandez KC, Dose H, Mori H, Patil KR, Bork P, Typas A. Extensive impact of non-antibiotic drugs on human gut bacteria. Nature 2018 </w:t>
      </w:r>
      <w:r>
        <w:rPr>
          <w:rStyle w:val="Hyperlink"/>
          <w:b/>
          <w:color w:val="auto"/>
          <w:u w:val="none"/>
        </w:rPr>
        <w:t>555</w:t>
      </w:r>
      <w:r>
        <w:rPr>
          <w:rStyle w:val="Hyperlink"/>
          <w:color w:val="auto"/>
          <w:u w:val="none"/>
        </w:rPr>
        <w:t>(7698): 623 – 628.</w:t>
      </w:r>
    </w:p>
    <w:p w:rsidR="0047139B" w:rsidRDefault="0047139B" w:rsidP="00D8136A">
      <w:r w:rsidRPr="00F94FA9">
        <w:t>Maier TV, Lucio M, Lee LH,</w:t>
      </w:r>
      <w:r w:rsidR="00836D2D">
        <w:t xml:space="preserve"> </w:t>
      </w:r>
      <w:r w:rsidRPr="00F94FA9">
        <w:t>VerBerkmoes NC, Brislawn CJ, Bernhardt J, Lanemdella R, McDermott JE, Bergeron N, Heinzmann SS, Morton JT, Gonz</w:t>
      </w:r>
      <w:r w:rsidRPr="00F94FA9">
        <w:rPr>
          <w:rFonts w:cs="Arial"/>
        </w:rPr>
        <w:t>á</w:t>
      </w:r>
      <w:r w:rsidRPr="00F94FA9">
        <w:t>lez A, Ackermann G, Knight R, Riedel K, Krauss RM, Schmitt</w:t>
      </w:r>
      <w:r w:rsidR="002254C0" w:rsidRPr="00F94FA9">
        <w:t xml:space="preserve">-Kopplin P, Jansson JK. Impact of dietary resistant starch on the human gut microbiome, metaproteome and metabolome. mBio 2017 </w:t>
      </w:r>
      <w:r w:rsidR="002254C0" w:rsidRPr="00F94FA9">
        <w:rPr>
          <w:b/>
        </w:rPr>
        <w:t>8</w:t>
      </w:r>
      <w:r w:rsidR="002254C0" w:rsidRPr="00F94FA9">
        <w:t>(5): e01343-17</w:t>
      </w:r>
      <w:r w:rsidR="00615213">
        <w:t>.</w:t>
      </w:r>
    </w:p>
    <w:p w:rsidR="00AA5AB5" w:rsidRPr="00F94FA9" w:rsidRDefault="00AA5AB5" w:rsidP="00D8136A">
      <w:r>
        <w:t>Manrique P, Bolduc B, Walk ST, van der Oost J, de Vos WM, Young MJ (2016). Healthy human gut phageome. Proc Natl Acad Sci U S A. 113:10400-5. doi: 10.1073/pnas.1601060113.</w:t>
      </w:r>
    </w:p>
    <w:p w:rsidR="00D8136A" w:rsidRPr="00F94FA9" w:rsidRDefault="00D8136A" w:rsidP="00DD19CC">
      <w:pPr>
        <w:spacing w:before="240"/>
        <w:rPr>
          <w:szCs w:val="24"/>
        </w:rPr>
      </w:pPr>
      <w:r w:rsidRPr="00F94FA9">
        <w:rPr>
          <w:szCs w:val="24"/>
        </w:rPr>
        <w:t xml:space="preserve">Mao Q, Manservisi F, Panzecchi S, MandrioliD, Menghetti I, Vornoli A, Bua L, Falcioni L, Lesseur C, Chen J, Belpaggi F, Hu J. The Ramazzini Institute 13-week pilot study and Roundup administered at human-equivalent dose to Sprague Dawley rats: effects on the microbiome. Environmental Health 2018 </w:t>
      </w:r>
      <w:r w:rsidRPr="00F94FA9">
        <w:rPr>
          <w:b/>
          <w:szCs w:val="24"/>
        </w:rPr>
        <w:t>17</w:t>
      </w:r>
      <w:r w:rsidRPr="00F94FA9">
        <w:rPr>
          <w:szCs w:val="24"/>
        </w:rPr>
        <w:t>:50 – 61</w:t>
      </w:r>
      <w:r w:rsidR="00F3088C" w:rsidRPr="00F94FA9">
        <w:rPr>
          <w:szCs w:val="24"/>
        </w:rPr>
        <w:t>.</w:t>
      </w:r>
    </w:p>
    <w:p w:rsidR="00D9105E" w:rsidRPr="00F94FA9" w:rsidRDefault="00D9105E" w:rsidP="00DD19CC">
      <w:pPr>
        <w:spacing w:before="240"/>
        <w:rPr>
          <w:szCs w:val="24"/>
        </w:rPr>
      </w:pPr>
      <w:r w:rsidRPr="00F94FA9">
        <w:rPr>
          <w:szCs w:val="24"/>
        </w:rPr>
        <w:t>Mariat D, Firmesse O, Levenez F, Guimar</w:t>
      </w:r>
      <w:r w:rsidRPr="00F94FA9">
        <w:rPr>
          <w:rFonts w:cs="Arial"/>
          <w:szCs w:val="24"/>
        </w:rPr>
        <w:t>ă</w:t>
      </w:r>
      <w:r w:rsidRPr="00F94FA9">
        <w:rPr>
          <w:szCs w:val="24"/>
        </w:rPr>
        <w:t>es VD, Sokol H, Dor</w:t>
      </w:r>
      <w:r w:rsidRPr="00F94FA9">
        <w:rPr>
          <w:rFonts w:cs="Arial"/>
          <w:szCs w:val="24"/>
        </w:rPr>
        <w:t>é</w:t>
      </w:r>
      <w:r w:rsidRPr="00F94FA9">
        <w:rPr>
          <w:szCs w:val="24"/>
        </w:rPr>
        <w:t>J, C</w:t>
      </w:r>
      <w:r w:rsidR="008A24F9">
        <w:rPr>
          <w:szCs w:val="24"/>
        </w:rPr>
        <w:t>orthier G</w:t>
      </w:r>
      <w:r w:rsidRPr="00F94FA9">
        <w:rPr>
          <w:szCs w:val="24"/>
        </w:rPr>
        <w:t xml:space="preserve">, Furet J-P. The </w:t>
      </w:r>
      <w:r w:rsidRPr="00F94FA9">
        <w:rPr>
          <w:i/>
          <w:szCs w:val="24"/>
        </w:rPr>
        <w:t>Firmicutes/Bacteroidetes</w:t>
      </w:r>
      <w:r w:rsidRPr="00F94FA9">
        <w:rPr>
          <w:szCs w:val="24"/>
        </w:rPr>
        <w:t xml:space="preserve"> ratio of the human microbiota changes with age. BMC Microbiology 2009 </w:t>
      </w:r>
      <w:r w:rsidRPr="00F94FA9">
        <w:rPr>
          <w:b/>
          <w:szCs w:val="24"/>
        </w:rPr>
        <w:t xml:space="preserve">9 </w:t>
      </w:r>
      <w:r w:rsidRPr="00F94FA9">
        <w:rPr>
          <w:szCs w:val="24"/>
        </w:rPr>
        <w:t>123-128</w:t>
      </w:r>
      <w:r w:rsidR="00615213">
        <w:rPr>
          <w:szCs w:val="24"/>
        </w:rPr>
        <w:t>.</w:t>
      </w:r>
    </w:p>
    <w:p w:rsidR="006A33E1" w:rsidRDefault="0088225A" w:rsidP="00DD19CC">
      <w:pPr>
        <w:spacing w:before="240"/>
        <w:rPr>
          <w:szCs w:val="24"/>
        </w:rPr>
      </w:pPr>
      <w:r w:rsidRPr="00F94FA9">
        <w:rPr>
          <w:szCs w:val="24"/>
        </w:rPr>
        <w:t>Markowiak P, Sli</w:t>
      </w:r>
      <w:r w:rsidRPr="00F94FA9">
        <w:rPr>
          <w:rFonts w:cs="Arial"/>
          <w:szCs w:val="24"/>
        </w:rPr>
        <w:t>ż</w:t>
      </w:r>
      <w:r w:rsidRPr="00F94FA9">
        <w:rPr>
          <w:szCs w:val="24"/>
        </w:rPr>
        <w:t>ewska K. Effects of probiotics, prebiotics and sy</w:t>
      </w:r>
      <w:r w:rsidR="0038427E">
        <w:rPr>
          <w:szCs w:val="24"/>
        </w:rPr>
        <w:t>n</w:t>
      </w:r>
      <w:r w:rsidRPr="00F94FA9">
        <w:rPr>
          <w:szCs w:val="24"/>
        </w:rPr>
        <w:t xml:space="preserve">biotics on human health. Nutrients 2017 </w:t>
      </w:r>
      <w:r w:rsidRPr="00F94FA9">
        <w:rPr>
          <w:b/>
          <w:szCs w:val="24"/>
        </w:rPr>
        <w:t>9</w:t>
      </w:r>
      <w:r w:rsidRPr="00F94FA9">
        <w:rPr>
          <w:szCs w:val="24"/>
        </w:rPr>
        <w:t xml:space="preserve">(9): 1021 </w:t>
      </w:r>
      <w:r w:rsidR="006C4FAF">
        <w:rPr>
          <w:szCs w:val="24"/>
        </w:rPr>
        <w:t>–</w:t>
      </w:r>
      <w:r w:rsidRPr="00F94FA9">
        <w:rPr>
          <w:szCs w:val="24"/>
        </w:rPr>
        <w:t xml:space="preserve"> 1058</w:t>
      </w:r>
      <w:r w:rsidR="006C4FAF">
        <w:rPr>
          <w:szCs w:val="24"/>
        </w:rPr>
        <w:t xml:space="preserve">. </w:t>
      </w:r>
    </w:p>
    <w:p w:rsidR="006C4FAF" w:rsidRDefault="006C4FAF" w:rsidP="00DD19CC">
      <w:pPr>
        <w:spacing w:before="240"/>
        <w:rPr>
          <w:szCs w:val="24"/>
        </w:rPr>
      </w:pPr>
      <w:r>
        <w:rPr>
          <w:szCs w:val="24"/>
        </w:rPr>
        <w:t>Maurice CF, Haiser HJ, Turnbaugh</w:t>
      </w:r>
      <w:r w:rsidR="00331B91">
        <w:rPr>
          <w:szCs w:val="24"/>
        </w:rPr>
        <w:t xml:space="preserve"> </w:t>
      </w:r>
      <w:r>
        <w:rPr>
          <w:szCs w:val="24"/>
        </w:rPr>
        <w:t xml:space="preserve">PJ. .Xenobiotics shape the physiology and gene expression of the active human gut microbiome. Cell 2013 </w:t>
      </w:r>
      <w:r>
        <w:rPr>
          <w:b/>
          <w:szCs w:val="24"/>
        </w:rPr>
        <w:t>152</w:t>
      </w:r>
      <w:r>
        <w:rPr>
          <w:szCs w:val="24"/>
        </w:rPr>
        <w:t>(1 – 2) 39 – 50.</w:t>
      </w:r>
    </w:p>
    <w:p w:rsidR="00717FD1" w:rsidRDefault="00717FD1" w:rsidP="00717FD1">
      <w:pPr>
        <w:autoSpaceDE w:val="0"/>
        <w:autoSpaceDN w:val="0"/>
        <w:adjustRightInd w:val="0"/>
        <w:spacing w:after="0" w:line="240" w:lineRule="auto"/>
        <w:rPr>
          <w:rFonts w:cs="Arial"/>
          <w:szCs w:val="24"/>
        </w:rPr>
      </w:pPr>
      <w:r w:rsidRPr="00717FD1">
        <w:rPr>
          <w:rFonts w:cs="Arial"/>
          <w:szCs w:val="24"/>
        </w:rPr>
        <w:t>Meletiadis</w:t>
      </w:r>
      <w:r>
        <w:rPr>
          <w:rFonts w:cs="Arial"/>
          <w:szCs w:val="24"/>
        </w:rPr>
        <w:t xml:space="preserve"> J,</w:t>
      </w:r>
      <w:r w:rsidRPr="00717FD1">
        <w:rPr>
          <w:rFonts w:cs="Arial"/>
          <w:szCs w:val="24"/>
        </w:rPr>
        <w:t xml:space="preserve"> Turlej-Rogacka A</w:t>
      </w:r>
      <w:r>
        <w:rPr>
          <w:rFonts w:cs="Arial"/>
          <w:szCs w:val="24"/>
        </w:rPr>
        <w:t>,</w:t>
      </w:r>
      <w:r w:rsidRPr="00717FD1">
        <w:rPr>
          <w:rFonts w:cs="Arial"/>
          <w:szCs w:val="24"/>
        </w:rPr>
        <w:t xml:space="preserve"> Lerner A</w:t>
      </w:r>
      <w:r>
        <w:rPr>
          <w:rFonts w:cs="Arial"/>
          <w:szCs w:val="24"/>
        </w:rPr>
        <w:t>,</w:t>
      </w:r>
      <w:r w:rsidRPr="00717FD1">
        <w:rPr>
          <w:rFonts w:cs="Arial"/>
          <w:szCs w:val="24"/>
        </w:rPr>
        <w:t xml:space="preserve"> Adler, A</w:t>
      </w:r>
      <w:r>
        <w:rPr>
          <w:rFonts w:cs="Arial"/>
          <w:szCs w:val="24"/>
        </w:rPr>
        <w:t>,</w:t>
      </w:r>
      <w:r w:rsidRPr="00717FD1">
        <w:rPr>
          <w:rFonts w:cs="Arial"/>
          <w:szCs w:val="24"/>
        </w:rPr>
        <w:t xml:space="preserve"> Tacconelli E</w:t>
      </w:r>
      <w:r>
        <w:rPr>
          <w:rFonts w:cs="Arial"/>
          <w:szCs w:val="24"/>
        </w:rPr>
        <w:t xml:space="preserve">, </w:t>
      </w:r>
      <w:r w:rsidRPr="00717FD1">
        <w:rPr>
          <w:rFonts w:cs="Arial"/>
          <w:szCs w:val="24"/>
        </w:rPr>
        <w:t>Mouton</w:t>
      </w:r>
      <w:r>
        <w:rPr>
          <w:rFonts w:cs="Arial"/>
          <w:szCs w:val="24"/>
        </w:rPr>
        <w:t xml:space="preserve"> JW.</w:t>
      </w:r>
    </w:p>
    <w:p w:rsidR="00717FD1" w:rsidRPr="00717FD1" w:rsidRDefault="00717FD1" w:rsidP="00717FD1">
      <w:pPr>
        <w:autoSpaceDE w:val="0"/>
        <w:autoSpaceDN w:val="0"/>
        <w:adjustRightInd w:val="0"/>
        <w:spacing w:after="0" w:line="240" w:lineRule="auto"/>
        <w:rPr>
          <w:rFonts w:cs="Arial"/>
          <w:szCs w:val="24"/>
        </w:rPr>
      </w:pPr>
      <w:r w:rsidRPr="00717FD1">
        <w:rPr>
          <w:rFonts w:cs="Arial"/>
          <w:szCs w:val="24"/>
        </w:rPr>
        <w:t xml:space="preserve">Amplification of </w:t>
      </w:r>
      <w:r>
        <w:rPr>
          <w:rFonts w:cs="Arial"/>
          <w:szCs w:val="24"/>
        </w:rPr>
        <w:t>a</w:t>
      </w:r>
      <w:r w:rsidRPr="00717FD1">
        <w:rPr>
          <w:rFonts w:cs="Arial"/>
          <w:szCs w:val="24"/>
        </w:rPr>
        <w:t xml:space="preserve">ntimicrobial </w:t>
      </w:r>
      <w:r>
        <w:rPr>
          <w:rFonts w:cs="Arial"/>
          <w:szCs w:val="24"/>
        </w:rPr>
        <w:t>r</w:t>
      </w:r>
      <w:r w:rsidRPr="00717FD1">
        <w:rPr>
          <w:rFonts w:cs="Arial"/>
          <w:szCs w:val="24"/>
        </w:rPr>
        <w:t>esistance</w:t>
      </w:r>
      <w:r>
        <w:rPr>
          <w:rFonts w:cs="Arial"/>
          <w:szCs w:val="24"/>
        </w:rPr>
        <w:t xml:space="preserve"> </w:t>
      </w:r>
      <w:r w:rsidRPr="00717FD1">
        <w:rPr>
          <w:rFonts w:cs="Arial"/>
          <w:szCs w:val="24"/>
        </w:rPr>
        <w:t xml:space="preserve">in </w:t>
      </w:r>
      <w:r>
        <w:rPr>
          <w:rFonts w:cs="Arial"/>
          <w:szCs w:val="24"/>
        </w:rPr>
        <w:t>g</w:t>
      </w:r>
      <w:r w:rsidRPr="00717FD1">
        <w:rPr>
          <w:rFonts w:cs="Arial"/>
          <w:szCs w:val="24"/>
        </w:rPr>
        <w:t xml:space="preserve">ut </w:t>
      </w:r>
      <w:r>
        <w:rPr>
          <w:rFonts w:cs="Arial"/>
          <w:szCs w:val="24"/>
        </w:rPr>
        <w:t>f</w:t>
      </w:r>
      <w:r w:rsidRPr="00717FD1">
        <w:rPr>
          <w:rFonts w:cs="Arial"/>
          <w:szCs w:val="24"/>
        </w:rPr>
        <w:t xml:space="preserve">lora of </w:t>
      </w:r>
      <w:r>
        <w:rPr>
          <w:rFonts w:cs="Arial"/>
          <w:szCs w:val="24"/>
        </w:rPr>
        <w:t>p</w:t>
      </w:r>
      <w:r w:rsidRPr="00717FD1">
        <w:rPr>
          <w:rFonts w:cs="Arial"/>
          <w:szCs w:val="24"/>
        </w:rPr>
        <w:t xml:space="preserve">atients </w:t>
      </w:r>
      <w:r>
        <w:rPr>
          <w:rFonts w:cs="Arial"/>
          <w:szCs w:val="24"/>
        </w:rPr>
        <w:t>t</w:t>
      </w:r>
      <w:r w:rsidRPr="00717FD1">
        <w:rPr>
          <w:rFonts w:cs="Arial"/>
          <w:szCs w:val="24"/>
        </w:rPr>
        <w:t>reated with</w:t>
      </w:r>
    </w:p>
    <w:p w:rsidR="00717FD1" w:rsidRDefault="00717FD1" w:rsidP="00717FD1">
      <w:pPr>
        <w:autoSpaceDE w:val="0"/>
        <w:autoSpaceDN w:val="0"/>
        <w:adjustRightInd w:val="0"/>
        <w:spacing w:after="0" w:line="240" w:lineRule="auto"/>
        <w:rPr>
          <w:rFonts w:cs="Arial"/>
          <w:szCs w:val="24"/>
        </w:rPr>
      </w:pPr>
      <w:r>
        <w:rPr>
          <w:rFonts w:cs="Arial"/>
          <w:szCs w:val="24"/>
        </w:rPr>
        <w:t>C</w:t>
      </w:r>
      <w:r w:rsidRPr="00717FD1">
        <w:rPr>
          <w:rFonts w:cs="Arial"/>
          <w:szCs w:val="24"/>
        </w:rPr>
        <w:t>eftriaxone</w:t>
      </w:r>
      <w:r>
        <w:rPr>
          <w:rFonts w:cs="Arial"/>
          <w:szCs w:val="24"/>
        </w:rPr>
        <w:t xml:space="preserve">. </w:t>
      </w:r>
      <w:r w:rsidRPr="00717FD1">
        <w:rPr>
          <w:rFonts w:cs="Arial"/>
          <w:szCs w:val="24"/>
        </w:rPr>
        <w:t xml:space="preserve">Antimicrobial Agents and Chemotherapy 2017 </w:t>
      </w:r>
      <w:r w:rsidRPr="00717FD1">
        <w:rPr>
          <w:rFonts w:cs="Arial"/>
          <w:b/>
          <w:szCs w:val="24"/>
        </w:rPr>
        <w:t>61</w:t>
      </w:r>
      <w:r w:rsidRPr="00717FD1">
        <w:rPr>
          <w:rFonts w:cs="Arial"/>
          <w:szCs w:val="24"/>
        </w:rPr>
        <w:t>(11</w:t>
      </w:r>
      <w:r>
        <w:rPr>
          <w:rFonts w:cs="Arial"/>
          <w:szCs w:val="24"/>
        </w:rPr>
        <w:t>)</w:t>
      </w:r>
      <w:r w:rsidRPr="00717FD1">
        <w:rPr>
          <w:rFonts w:cs="Arial"/>
          <w:szCs w:val="24"/>
        </w:rPr>
        <w:t xml:space="preserve"> e00473-17 </w:t>
      </w:r>
    </w:p>
    <w:p w:rsidR="00202FBB" w:rsidRDefault="00202FBB" w:rsidP="00717FD1">
      <w:pPr>
        <w:autoSpaceDE w:val="0"/>
        <w:autoSpaceDN w:val="0"/>
        <w:adjustRightInd w:val="0"/>
        <w:spacing w:after="0" w:line="240" w:lineRule="auto"/>
        <w:rPr>
          <w:rFonts w:cs="Arial"/>
          <w:szCs w:val="24"/>
        </w:rPr>
      </w:pPr>
    </w:p>
    <w:p w:rsidR="00717FD1" w:rsidRPr="00202FBB" w:rsidRDefault="00202FBB" w:rsidP="00202FBB">
      <w:pPr>
        <w:textAlignment w:val="center"/>
        <w:rPr>
          <w:rFonts w:cs="Arial"/>
          <w:szCs w:val="24"/>
        </w:rPr>
      </w:pPr>
      <w:bookmarkStart w:id="12" w:name="baep-author-id2"/>
      <w:r w:rsidRPr="00202FBB">
        <w:rPr>
          <w:rStyle w:val="text"/>
          <w:rFonts w:cs="Arial"/>
          <w:szCs w:val="24"/>
        </w:rPr>
        <w:t>Meyer</w:t>
      </w:r>
      <w:bookmarkStart w:id="13" w:name="baep-author-id3"/>
      <w:bookmarkEnd w:id="12"/>
      <w:r w:rsidR="005C735A">
        <w:rPr>
          <w:rStyle w:val="text"/>
          <w:rFonts w:cs="Arial"/>
          <w:szCs w:val="24"/>
        </w:rPr>
        <w:t xml:space="preserve"> J,</w:t>
      </w:r>
      <w:r w:rsidRPr="00202FBB">
        <w:rPr>
          <w:rFonts w:cs="Arial"/>
          <w:szCs w:val="24"/>
        </w:rPr>
        <w:t xml:space="preserve"> </w:t>
      </w:r>
      <w:r w:rsidRPr="00202FBB">
        <w:rPr>
          <w:rStyle w:val="text"/>
          <w:rFonts w:cs="Arial"/>
          <w:szCs w:val="24"/>
        </w:rPr>
        <w:t>Michalk</w:t>
      </w:r>
      <w:r w:rsidR="005C735A">
        <w:rPr>
          <w:rStyle w:val="text"/>
          <w:rFonts w:cs="Arial"/>
          <w:szCs w:val="24"/>
        </w:rPr>
        <w:t>e K</w:t>
      </w:r>
      <w:bookmarkStart w:id="14" w:name="baep-author-id4"/>
      <w:bookmarkEnd w:id="13"/>
      <w:r w:rsidR="005C735A">
        <w:rPr>
          <w:rStyle w:val="text"/>
          <w:rFonts w:cs="Arial"/>
          <w:szCs w:val="24"/>
        </w:rPr>
        <w:t xml:space="preserve">, </w:t>
      </w:r>
      <w:r w:rsidRPr="00202FBB">
        <w:rPr>
          <w:rStyle w:val="text"/>
          <w:rFonts w:cs="Arial"/>
          <w:szCs w:val="24"/>
        </w:rPr>
        <w:t>Kouril</w:t>
      </w:r>
      <w:bookmarkStart w:id="15" w:name="baep-author-id5"/>
      <w:bookmarkEnd w:id="14"/>
      <w:r w:rsidR="005C735A">
        <w:rPr>
          <w:rStyle w:val="text"/>
          <w:rFonts w:cs="Arial"/>
          <w:szCs w:val="24"/>
        </w:rPr>
        <w:t xml:space="preserve"> T, </w:t>
      </w:r>
      <w:r w:rsidRPr="00202FBB">
        <w:rPr>
          <w:rFonts w:cs="Arial"/>
          <w:szCs w:val="24"/>
        </w:rPr>
        <w:t xml:space="preserve"> </w:t>
      </w:r>
      <w:r w:rsidRPr="00202FBB">
        <w:rPr>
          <w:rStyle w:val="text"/>
          <w:rFonts w:cs="Arial"/>
          <w:szCs w:val="24"/>
        </w:rPr>
        <w:t>Hensel</w:t>
      </w:r>
      <w:bookmarkEnd w:id="15"/>
      <w:r w:rsidR="005C735A">
        <w:rPr>
          <w:rStyle w:val="text"/>
          <w:rFonts w:cs="Arial"/>
          <w:szCs w:val="24"/>
        </w:rPr>
        <w:t xml:space="preserve"> R.</w:t>
      </w:r>
      <w:r w:rsidRPr="00202FBB">
        <w:rPr>
          <w:rStyle w:val="title-text"/>
          <w:szCs w:val="24"/>
        </w:rPr>
        <w:t xml:space="preserve"> Volatilisation of metals and metalloids: An inherent feature of methanoarchaea?</w:t>
      </w:r>
      <w:r w:rsidRPr="00202FBB">
        <w:rPr>
          <w:rFonts w:cs="Arial"/>
          <w:szCs w:val="24"/>
        </w:rPr>
        <w:t xml:space="preserve"> Systematic and Applied Microbiology</w:t>
      </w:r>
      <w:r>
        <w:rPr>
          <w:rFonts w:cs="Arial"/>
          <w:szCs w:val="24"/>
        </w:rPr>
        <w:t xml:space="preserve"> 2008 </w:t>
      </w:r>
      <w:r w:rsidRPr="005C735A">
        <w:rPr>
          <w:rFonts w:cs="Arial"/>
          <w:b/>
          <w:bCs/>
          <w:szCs w:val="24"/>
        </w:rPr>
        <w:t>31</w:t>
      </w:r>
      <w:r w:rsidR="005C735A">
        <w:rPr>
          <w:rFonts w:cs="Arial"/>
          <w:szCs w:val="24"/>
        </w:rPr>
        <w:t>(</w:t>
      </w:r>
      <w:r w:rsidRPr="00202FBB">
        <w:rPr>
          <w:rFonts w:cs="Arial"/>
          <w:szCs w:val="24"/>
        </w:rPr>
        <w:t>2</w:t>
      </w:r>
      <w:r w:rsidR="005C735A">
        <w:rPr>
          <w:rFonts w:cs="Arial"/>
          <w:szCs w:val="24"/>
        </w:rPr>
        <w:t>)</w:t>
      </w:r>
      <w:r w:rsidRPr="00202FBB">
        <w:rPr>
          <w:rFonts w:cs="Arial"/>
          <w:szCs w:val="24"/>
        </w:rPr>
        <w:t xml:space="preserve"> 81-87</w:t>
      </w:r>
      <w:r w:rsidR="005C735A">
        <w:rPr>
          <w:rFonts w:cs="Arial"/>
          <w:szCs w:val="24"/>
        </w:rPr>
        <w:t>.</w:t>
      </w:r>
    </w:p>
    <w:p w:rsidR="0061009F" w:rsidRDefault="0061009F" w:rsidP="0061009F">
      <w:r w:rsidRPr="00F94FA9">
        <w:t xml:space="preserve">Milani C, Duranti S, Bottacini F, Casey E, Turroni F, Mahony J, Belzer C, Palacio SD, Montes SA, Mancabelli L, Lugli GA, Rodriguez JM, Bode L, de Vos W, Gueimonde M, Margolles A, van Sindern D, Ventura M. The first microbial colonizers of the human gut: composition, activities, and health implications of the infant gut microbiota. Microbiology and Molecular Biology Reviews 2017 </w:t>
      </w:r>
      <w:r w:rsidRPr="00F94FA9">
        <w:rPr>
          <w:b/>
        </w:rPr>
        <w:t>81</w:t>
      </w:r>
      <w:r w:rsidRPr="00F94FA9">
        <w:t>(4): e00036-17.</w:t>
      </w:r>
    </w:p>
    <w:p w:rsidR="00BF472F" w:rsidRDefault="00BF472F" w:rsidP="0061009F">
      <w:r>
        <w:t xml:space="preserve">Minalyan A, Gabrielyan L, Scott D, Jacobs J, Pisegna JR. The gastric and intestinal microbiome: role of proton pump inhibitors. Current Gastroenterology Reports 2017 </w:t>
      </w:r>
      <w:r>
        <w:rPr>
          <w:b/>
        </w:rPr>
        <w:t>16</w:t>
      </w:r>
      <w:r>
        <w:t xml:space="preserve">(8) 42 – 58. </w:t>
      </w:r>
    </w:p>
    <w:p w:rsidR="00EF0AE4" w:rsidRPr="00EF0AE4" w:rsidRDefault="00EF0AE4" w:rsidP="0061009F">
      <w:r>
        <w:t xml:space="preserve">Minot S, Sinha R, Chen J, Li H, Keilbaugh SA, Wu GD, Lewis JD, Bushman FD. The human gut virome: inter-indibidual variation and dynamic response to diet. Genome Research 2011 </w:t>
      </w:r>
      <w:r>
        <w:rPr>
          <w:b/>
          <w:bCs/>
        </w:rPr>
        <w:t>21</w:t>
      </w:r>
      <w:r>
        <w:t xml:space="preserve">: 1616 </w:t>
      </w:r>
      <w:r w:rsidR="00615213">
        <w:t>–</w:t>
      </w:r>
      <w:r>
        <w:t xml:space="preserve"> 1625</w:t>
      </w:r>
      <w:r w:rsidR="00615213">
        <w:t>.</w:t>
      </w:r>
    </w:p>
    <w:p w:rsidR="00985072" w:rsidRPr="00F94FA9" w:rsidRDefault="00985072" w:rsidP="0061009F">
      <w:r w:rsidRPr="00F94FA9">
        <w:t>Montassier E, Gastinne t, vangay P, Al-Ghalith GA, Bruley des Varannes SB, Massart S, Moreau P, Patel G, de La Cocheti</w:t>
      </w:r>
      <w:r w:rsidRPr="00F94FA9">
        <w:rPr>
          <w:rFonts w:cs="Arial"/>
        </w:rPr>
        <w:t>è</w:t>
      </w:r>
      <w:r w:rsidRPr="00F94FA9">
        <w:t xml:space="preserve">re MF, Batard E, Knights D. Chemotherapy-driven dysbiosis in the intestinal microbiome. </w:t>
      </w:r>
      <w:r w:rsidR="006363BF" w:rsidRPr="00F94FA9">
        <w:t xml:space="preserve">Alimentary Pharmacology and Therapeutics 2015 </w:t>
      </w:r>
      <w:r w:rsidR="006363BF" w:rsidRPr="00F94FA9">
        <w:rPr>
          <w:b/>
        </w:rPr>
        <w:t>42</w:t>
      </w:r>
      <w:r w:rsidR="006363BF" w:rsidRPr="00F94FA9">
        <w:t xml:space="preserve">: 515 </w:t>
      </w:r>
      <w:r w:rsidR="00615213">
        <w:t>–</w:t>
      </w:r>
      <w:r w:rsidR="006363BF" w:rsidRPr="00F94FA9">
        <w:t xml:space="preserve"> 528</w:t>
      </w:r>
      <w:r w:rsidR="00615213">
        <w:t>.</w:t>
      </w:r>
    </w:p>
    <w:p w:rsidR="0061009F" w:rsidRDefault="0061009F" w:rsidP="0061009F">
      <w:pPr>
        <w:pStyle w:val="ListParagraph"/>
        <w:ind w:left="0"/>
      </w:pPr>
      <w:r w:rsidRPr="00F94FA9">
        <w:t xml:space="preserve">Mueller NT, Shin H, Pizoni A, Werlang IC, Matte U, Goldani MZ, Goldani HAS, Dominguez-Bello MG. Delivery mode and transition of pioneering gut-microbiota structure, composition and predicted metabolic function. Genes 2017 </w:t>
      </w:r>
      <w:r w:rsidRPr="00F94FA9">
        <w:rPr>
          <w:b/>
        </w:rPr>
        <w:t>8</w:t>
      </w:r>
      <w:r w:rsidRPr="00F94FA9">
        <w:t>: 364 – 374.</w:t>
      </w:r>
    </w:p>
    <w:p w:rsidR="00B373CF" w:rsidRDefault="00B373CF" w:rsidP="0061009F">
      <w:pPr>
        <w:pStyle w:val="ListParagraph"/>
        <w:ind w:left="0"/>
      </w:pPr>
    </w:p>
    <w:p w:rsidR="00B373CF" w:rsidRPr="00B373CF" w:rsidRDefault="00B373CF" w:rsidP="0061009F">
      <w:pPr>
        <w:pStyle w:val="ListParagraph"/>
        <w:ind w:left="0"/>
      </w:pPr>
      <w:r>
        <w:t xml:space="preserve">Mukhopadhya I, Segal JP, Carding SR, Hart AL, Hold GL. The gut virome: the ‘missing link’ between gut bacteria and host immunity? Therapeutic Advances in Gastroenterology 2019 </w:t>
      </w:r>
      <w:r>
        <w:rPr>
          <w:b/>
          <w:bCs/>
        </w:rPr>
        <w:t>12</w:t>
      </w:r>
      <w:r>
        <w:t xml:space="preserve">: 1 </w:t>
      </w:r>
      <w:r w:rsidR="00615213">
        <w:t>–</w:t>
      </w:r>
      <w:r>
        <w:t xml:space="preserve"> 17</w:t>
      </w:r>
      <w:r w:rsidR="00615213">
        <w:t>.</w:t>
      </w:r>
    </w:p>
    <w:p w:rsidR="0061009F" w:rsidRPr="00F94FA9" w:rsidRDefault="0061009F" w:rsidP="0061009F">
      <w:pPr>
        <w:pStyle w:val="ListParagraph"/>
        <w:ind w:left="0"/>
      </w:pPr>
    </w:p>
    <w:p w:rsidR="00D8136A" w:rsidRDefault="00D8136A" w:rsidP="00CE7094">
      <w:pPr>
        <w:pStyle w:val="ListParagraph"/>
        <w:spacing w:before="240"/>
        <w:ind w:left="0"/>
        <w:rPr>
          <w:szCs w:val="24"/>
        </w:rPr>
      </w:pPr>
      <w:r w:rsidRPr="00F94FA9">
        <w:rPr>
          <w:szCs w:val="24"/>
        </w:rPr>
        <w:t xml:space="preserve">Mutlu E, Keshavarzian A, Engen P, Forsyth CB, Sikaroodi M, Gilleret P. Intestinal dysbiosis: a possible mechanism of alcohol-induced endotoxemia and alcoholic steatohepatitis in rats. Alcoholism: Clinical and Experimental Research 2009 </w:t>
      </w:r>
      <w:r w:rsidRPr="00F94FA9">
        <w:rPr>
          <w:b/>
          <w:szCs w:val="24"/>
        </w:rPr>
        <w:t>33</w:t>
      </w:r>
      <w:r w:rsidRPr="00F94FA9">
        <w:rPr>
          <w:szCs w:val="24"/>
        </w:rPr>
        <w:t>(10): 1836 – 1846.</w:t>
      </w:r>
    </w:p>
    <w:p w:rsidR="00164830" w:rsidRPr="00F94FA9" w:rsidRDefault="00164830" w:rsidP="00CE7094">
      <w:pPr>
        <w:pStyle w:val="ListParagraph"/>
        <w:spacing w:before="240"/>
        <w:ind w:left="0"/>
        <w:rPr>
          <w:szCs w:val="24"/>
        </w:rPr>
      </w:pPr>
    </w:p>
    <w:p w:rsidR="00164830" w:rsidRDefault="00164830" w:rsidP="00CE7094">
      <w:pPr>
        <w:pStyle w:val="ListParagraph"/>
        <w:spacing w:before="240"/>
        <w:ind w:left="0"/>
        <w:rPr>
          <w:szCs w:val="24"/>
        </w:rPr>
      </w:pPr>
      <w:r w:rsidRPr="00F94FA9">
        <w:rPr>
          <w:szCs w:val="24"/>
        </w:rPr>
        <w:t xml:space="preserve">Nagano T, </w:t>
      </w:r>
      <w:r w:rsidR="0011191F" w:rsidRPr="00F94FA9">
        <w:rPr>
          <w:szCs w:val="24"/>
        </w:rPr>
        <w:t xml:space="preserve">Katase M, Tsumura K. Inhibitory effects of dietary soy </w:t>
      </w:r>
      <w:r w:rsidR="00331B91" w:rsidRPr="00F94FA9">
        <w:rPr>
          <w:szCs w:val="24"/>
        </w:rPr>
        <w:t>isoflavone</w:t>
      </w:r>
      <w:r w:rsidR="0011191F" w:rsidRPr="00F94FA9">
        <w:rPr>
          <w:szCs w:val="24"/>
        </w:rPr>
        <w:t xml:space="preserve"> and gut microbiota on contact hypersensitivity in mice. Food Chemistry 2019 </w:t>
      </w:r>
      <w:r w:rsidR="0011191F" w:rsidRPr="00F94FA9">
        <w:rPr>
          <w:b/>
          <w:szCs w:val="24"/>
        </w:rPr>
        <w:t>272</w:t>
      </w:r>
      <w:r w:rsidR="0011191F" w:rsidRPr="00F94FA9">
        <w:rPr>
          <w:szCs w:val="24"/>
        </w:rPr>
        <w:t xml:space="preserve"> 33 </w:t>
      </w:r>
      <w:r w:rsidR="00964386">
        <w:rPr>
          <w:szCs w:val="24"/>
        </w:rPr>
        <w:t>–</w:t>
      </w:r>
      <w:r w:rsidR="0011191F" w:rsidRPr="00F94FA9">
        <w:rPr>
          <w:szCs w:val="24"/>
        </w:rPr>
        <w:t xml:space="preserve"> 38</w:t>
      </w:r>
      <w:r w:rsidR="00964386">
        <w:rPr>
          <w:szCs w:val="24"/>
        </w:rPr>
        <w:t>.</w:t>
      </w:r>
    </w:p>
    <w:p w:rsidR="00964386" w:rsidRDefault="00964386" w:rsidP="00CE7094">
      <w:pPr>
        <w:pStyle w:val="ListParagraph"/>
        <w:spacing w:before="240"/>
        <w:ind w:left="0"/>
        <w:rPr>
          <w:szCs w:val="24"/>
        </w:rPr>
      </w:pPr>
    </w:p>
    <w:p w:rsidR="00964386" w:rsidRPr="008A24F9" w:rsidRDefault="008A24F9" w:rsidP="00CE7094">
      <w:pPr>
        <w:pStyle w:val="ListParagraph"/>
        <w:spacing w:before="240"/>
        <w:ind w:left="0"/>
        <w:rPr>
          <w:szCs w:val="24"/>
        </w:rPr>
      </w:pPr>
      <w:r>
        <w:rPr>
          <w:szCs w:val="24"/>
        </w:rPr>
        <w:t xml:space="preserve">Nash AK, Auchtung TA, Wong MC, Smith DP, Gesell JR, Ross MC, Stewart CJ, Metcalf GA, Muzny DM, Gibbs RA, Ajami NJ, Petrosino JF. The gut mycobiome of the Human Microbiome Project healthy cohort. Microbiome 2017 </w:t>
      </w:r>
      <w:r>
        <w:rPr>
          <w:b/>
          <w:bCs/>
          <w:szCs w:val="24"/>
        </w:rPr>
        <w:t>5</w:t>
      </w:r>
      <w:r>
        <w:rPr>
          <w:szCs w:val="24"/>
        </w:rPr>
        <w:t xml:space="preserve">: 153 </w:t>
      </w:r>
      <w:r w:rsidR="00615213">
        <w:rPr>
          <w:szCs w:val="24"/>
        </w:rPr>
        <w:t>–</w:t>
      </w:r>
      <w:r>
        <w:rPr>
          <w:szCs w:val="24"/>
        </w:rPr>
        <w:t xml:space="preserve"> 165</w:t>
      </w:r>
      <w:r w:rsidR="00615213">
        <w:rPr>
          <w:szCs w:val="24"/>
        </w:rPr>
        <w:t>.</w:t>
      </w:r>
    </w:p>
    <w:p w:rsidR="00D8136A" w:rsidRPr="00F94FA9" w:rsidRDefault="00D8136A" w:rsidP="00CE7094">
      <w:pPr>
        <w:pStyle w:val="ListParagraph"/>
        <w:spacing w:before="240"/>
        <w:ind w:left="0"/>
        <w:rPr>
          <w:i/>
          <w:szCs w:val="24"/>
        </w:rPr>
      </w:pPr>
    </w:p>
    <w:p w:rsidR="00D8136A" w:rsidRDefault="00D8136A" w:rsidP="009149E2">
      <w:pPr>
        <w:pStyle w:val="ListParagraph"/>
        <w:ind w:left="0"/>
      </w:pPr>
      <w:r w:rsidRPr="00F94FA9">
        <w:t xml:space="preserve">Nasuti C, Coman MM, Olek RA, Florini D, Verdenelli MC, Cecchini C, Silvi SFedeli D, Gabbianelli R. Changes on fecal microbiota in rats exposed to permethrin during postnatal development. Environmental Science and Pollution Research 2016 </w:t>
      </w:r>
      <w:r w:rsidRPr="00F94FA9">
        <w:rPr>
          <w:b/>
        </w:rPr>
        <w:t>23</w:t>
      </w:r>
      <w:r w:rsidRPr="00F94FA9">
        <w:t>: 10930 – 10937</w:t>
      </w:r>
      <w:r w:rsidR="00F3088C" w:rsidRPr="00F94FA9">
        <w:t>.</w:t>
      </w:r>
    </w:p>
    <w:p w:rsidR="0017379B" w:rsidRDefault="0017379B" w:rsidP="009149E2">
      <w:pPr>
        <w:pStyle w:val="ListParagraph"/>
        <w:ind w:left="0"/>
      </w:pPr>
    </w:p>
    <w:p w:rsidR="0017379B" w:rsidRDefault="0017379B" w:rsidP="009149E2">
      <w:pPr>
        <w:pStyle w:val="ListParagraph"/>
        <w:ind w:left="0"/>
      </w:pPr>
      <w:r>
        <w:t xml:space="preserve">Neil JA, Cadwell K. The intestinal virome and immunity. Journal of Immunology 2018 </w:t>
      </w:r>
      <w:r>
        <w:rPr>
          <w:b/>
          <w:bCs/>
        </w:rPr>
        <w:t>201</w:t>
      </w:r>
      <w:r>
        <w:t>(6): 1615 – 1624.</w:t>
      </w:r>
    </w:p>
    <w:p w:rsidR="00A65042" w:rsidRDefault="00A65042" w:rsidP="009149E2">
      <w:pPr>
        <w:pStyle w:val="ListParagraph"/>
        <w:ind w:left="0"/>
      </w:pPr>
    </w:p>
    <w:p w:rsidR="00A65042" w:rsidRPr="00A65042" w:rsidRDefault="00A65042" w:rsidP="009149E2">
      <w:pPr>
        <w:pStyle w:val="ListParagraph"/>
        <w:ind w:left="0"/>
      </w:pPr>
      <w:r>
        <w:t xml:space="preserve">Neuman H, Forsythe P, Uzan A, Avni O, Koren O. Antibiotics in early life and the damage done. FEMS Microbiology Reviews 2018 </w:t>
      </w:r>
      <w:r>
        <w:rPr>
          <w:b/>
          <w:bCs/>
        </w:rPr>
        <w:t>42</w:t>
      </w:r>
      <w:r>
        <w:t>: 489 – 499.</w:t>
      </w:r>
    </w:p>
    <w:p w:rsidR="008C6057" w:rsidRDefault="008C6057" w:rsidP="009149E2">
      <w:pPr>
        <w:pStyle w:val="ListParagraph"/>
        <w:ind w:left="0"/>
      </w:pPr>
    </w:p>
    <w:p w:rsidR="008C6057" w:rsidRDefault="008C6057" w:rsidP="009149E2">
      <w:pPr>
        <w:pStyle w:val="ListParagraph"/>
        <w:ind w:left="0"/>
      </w:pPr>
      <w:r>
        <w:t xml:space="preserve">Nguyen TLH, Vieira-Silya S, Liston A, Raes J. How informative is the mouse for human gut microbiota research? Disease Models &amp; Mechanisms 2015 </w:t>
      </w:r>
      <w:r>
        <w:rPr>
          <w:b/>
        </w:rPr>
        <w:t>8:</w:t>
      </w:r>
      <w:r>
        <w:t xml:space="preserve"> 1 – 16.</w:t>
      </w:r>
    </w:p>
    <w:p w:rsidR="00B67366" w:rsidRDefault="00B67366" w:rsidP="009149E2">
      <w:pPr>
        <w:pStyle w:val="ListParagraph"/>
        <w:ind w:left="0"/>
      </w:pPr>
    </w:p>
    <w:p w:rsidR="00B67366" w:rsidRPr="00744F05" w:rsidRDefault="00B67366" w:rsidP="009149E2">
      <w:pPr>
        <w:pStyle w:val="ListParagraph"/>
        <w:ind w:left="0"/>
      </w:pPr>
      <w:r>
        <w:t xml:space="preserve">Nichols RG, Cai J, Murrey IA, Koo I, Smith PB, Perdew GH, Patterson AD/ Structural and functional analysis of the gut microbiome </w:t>
      </w:r>
      <w:r w:rsidR="00744F05">
        <w:t xml:space="preserve">for toxicologists. Current Protocols in Toxicology 2018 </w:t>
      </w:r>
      <w:r w:rsidR="00744F05">
        <w:rPr>
          <w:b/>
          <w:bCs/>
        </w:rPr>
        <w:t>78</w:t>
      </w:r>
      <w:r w:rsidR="00744F05">
        <w:t>(1): e54. doi: 10.1002/cptx.54.</w:t>
      </w:r>
    </w:p>
    <w:p w:rsidR="00D8136A" w:rsidRPr="00F94FA9" w:rsidRDefault="00D8136A" w:rsidP="009149E2">
      <w:pPr>
        <w:pStyle w:val="ListParagraph"/>
        <w:ind w:left="0"/>
        <w:rPr>
          <w:i/>
        </w:rPr>
      </w:pPr>
    </w:p>
    <w:p w:rsidR="00D8136A" w:rsidRDefault="00D8136A" w:rsidP="00540FEA">
      <w:pPr>
        <w:pStyle w:val="ListParagraph"/>
        <w:spacing w:before="240"/>
        <w:ind w:left="0"/>
        <w:rPr>
          <w:szCs w:val="24"/>
        </w:rPr>
      </w:pPr>
      <w:bookmarkStart w:id="16" w:name="_Hlk40188490"/>
      <w:r w:rsidRPr="00F94FA9">
        <w:rPr>
          <w:szCs w:val="24"/>
        </w:rPr>
        <w:t xml:space="preserve">Nielsen LN, Roager HM, casas ME, Frandsen HL, Gosewinkel U, bester K, Licht TR, Hendriksen NB, Bahl MI. Glyphosate has limited short-term effects on commensal bacterial community composition in the gut environment due to sufficient aromatic amino acid levels. Environmental Pollution 2018 </w:t>
      </w:r>
      <w:r w:rsidRPr="00F94FA9">
        <w:rPr>
          <w:b/>
          <w:szCs w:val="24"/>
        </w:rPr>
        <w:t>233</w:t>
      </w:r>
      <w:r w:rsidRPr="00F94FA9">
        <w:rPr>
          <w:szCs w:val="24"/>
        </w:rPr>
        <w:t>: 364 – 376</w:t>
      </w:r>
      <w:r w:rsidR="00F3088C" w:rsidRPr="00F94FA9">
        <w:rPr>
          <w:szCs w:val="24"/>
        </w:rPr>
        <w:t>.</w:t>
      </w:r>
    </w:p>
    <w:bookmarkEnd w:id="16"/>
    <w:p w:rsidR="00FF56EB" w:rsidRPr="00F94FA9" w:rsidRDefault="00FF56EB" w:rsidP="00540FEA">
      <w:pPr>
        <w:pStyle w:val="ListParagraph"/>
        <w:spacing w:before="240"/>
        <w:ind w:left="0"/>
        <w:rPr>
          <w:szCs w:val="24"/>
        </w:rPr>
      </w:pPr>
    </w:p>
    <w:p w:rsidR="00FF56EB" w:rsidRDefault="00FF56EB" w:rsidP="00FF56EB">
      <w:pPr>
        <w:pStyle w:val="ListParagraph"/>
        <w:spacing w:before="240"/>
        <w:ind w:left="0"/>
        <w:rPr>
          <w:szCs w:val="24"/>
        </w:rPr>
      </w:pPr>
      <w:r>
        <w:rPr>
          <w:szCs w:val="24"/>
        </w:rPr>
        <w:t>Nogacka A, Salazar N, Su</w:t>
      </w:r>
      <w:r>
        <w:rPr>
          <w:rFonts w:cs="Arial"/>
          <w:szCs w:val="24"/>
        </w:rPr>
        <w:t>á</w:t>
      </w:r>
      <w:r>
        <w:rPr>
          <w:szCs w:val="24"/>
        </w:rPr>
        <w:t>rez M, Milani C, Arboleya S, Solis G, Fernandez N, Alaez L, Hern</w:t>
      </w:r>
      <w:r>
        <w:rPr>
          <w:rFonts w:cs="Arial"/>
          <w:szCs w:val="24"/>
        </w:rPr>
        <w:t>á</w:t>
      </w:r>
      <w:r>
        <w:rPr>
          <w:szCs w:val="24"/>
        </w:rPr>
        <w:t xml:space="preserve">ndez-Barranco AM, de los Reyes-Gavilan CG, Ventura M, Gueimonde M.  Impact of postpartum antimicrobial prophylaxis upon the intestinal microbiota and the prevalence of antibiotic resistance genes in vaginally delivered full-term neonates. Microbiome 2017 </w:t>
      </w:r>
      <w:r>
        <w:rPr>
          <w:b/>
          <w:bCs/>
          <w:szCs w:val="24"/>
        </w:rPr>
        <w:t>5</w:t>
      </w:r>
      <w:r>
        <w:rPr>
          <w:szCs w:val="24"/>
        </w:rPr>
        <w:t>:93 – 102.</w:t>
      </w:r>
    </w:p>
    <w:p w:rsidR="00EE11D7" w:rsidRDefault="00EE11D7" w:rsidP="00FF56EB">
      <w:pPr>
        <w:pStyle w:val="ListParagraph"/>
        <w:spacing w:before="240"/>
        <w:ind w:left="0"/>
        <w:rPr>
          <w:szCs w:val="24"/>
        </w:rPr>
      </w:pPr>
    </w:p>
    <w:p w:rsidR="00EE11D7" w:rsidRDefault="00EE11D7" w:rsidP="00FF56EB">
      <w:pPr>
        <w:pStyle w:val="ListParagraph"/>
        <w:spacing w:before="240"/>
        <w:ind w:left="0"/>
        <w:rPr>
          <w:szCs w:val="24"/>
        </w:rPr>
      </w:pPr>
      <w:r>
        <w:rPr>
          <w:szCs w:val="24"/>
        </w:rPr>
        <w:t>O’Callaghan A, van Sinderen D. Bifidobacter</w:t>
      </w:r>
      <w:r w:rsidR="00450536">
        <w:rPr>
          <w:szCs w:val="24"/>
        </w:rPr>
        <w:t xml:space="preserve">ia and their role as members of the human gut microbiota. Frontiers in Microbiology 2016 </w:t>
      </w:r>
      <w:r w:rsidR="00450536">
        <w:rPr>
          <w:b/>
          <w:bCs/>
          <w:szCs w:val="24"/>
        </w:rPr>
        <w:t>7</w:t>
      </w:r>
      <w:r w:rsidR="00450536">
        <w:rPr>
          <w:szCs w:val="24"/>
        </w:rPr>
        <w:t>: 925 – 947.</w:t>
      </w:r>
    </w:p>
    <w:p w:rsidR="00EF0AE4" w:rsidRDefault="00EF0AE4" w:rsidP="00FF56EB">
      <w:pPr>
        <w:pStyle w:val="ListParagraph"/>
        <w:spacing w:before="240"/>
        <w:ind w:left="0"/>
        <w:rPr>
          <w:szCs w:val="24"/>
        </w:rPr>
      </w:pPr>
    </w:p>
    <w:p w:rsidR="00EF0AE4" w:rsidRDefault="00EF0AE4" w:rsidP="00FF56EB">
      <w:pPr>
        <w:pStyle w:val="ListParagraph"/>
        <w:spacing w:before="240"/>
        <w:ind w:left="0"/>
        <w:rPr>
          <w:szCs w:val="24"/>
        </w:rPr>
      </w:pPr>
      <w:r>
        <w:rPr>
          <w:szCs w:val="24"/>
        </w:rPr>
        <w:t xml:space="preserve">Ogilvie LA, Jones BV. The human gut virome: a multifaceted majority. Frontiers in Microbiology 2015 </w:t>
      </w:r>
      <w:r>
        <w:rPr>
          <w:b/>
          <w:bCs/>
          <w:szCs w:val="24"/>
        </w:rPr>
        <w:t>6</w:t>
      </w:r>
      <w:r>
        <w:rPr>
          <w:szCs w:val="24"/>
        </w:rPr>
        <w:t>: 918 – 929.</w:t>
      </w:r>
    </w:p>
    <w:p w:rsidR="0066120B" w:rsidRDefault="0066120B" w:rsidP="00FF56EB">
      <w:pPr>
        <w:pStyle w:val="ListParagraph"/>
        <w:spacing w:before="240"/>
        <w:ind w:left="0"/>
        <w:rPr>
          <w:szCs w:val="24"/>
        </w:rPr>
      </w:pPr>
    </w:p>
    <w:p w:rsidR="0066120B" w:rsidRPr="0066120B" w:rsidRDefault="0066120B" w:rsidP="00FF56EB">
      <w:pPr>
        <w:pStyle w:val="ListParagraph"/>
        <w:spacing w:before="240"/>
        <w:ind w:left="0"/>
        <w:rPr>
          <w:rFonts w:cs="Arial"/>
          <w:szCs w:val="24"/>
        </w:rPr>
      </w:pPr>
      <w:r w:rsidRPr="00FC165B">
        <w:rPr>
          <w:rFonts w:cs="Arial"/>
          <w:color w:val="222222"/>
          <w:shd w:val="clear" w:color="auto" w:fill="FFFFFF"/>
        </w:rPr>
        <w:t>Okumura R, Takeda K</w:t>
      </w:r>
      <w:r>
        <w:rPr>
          <w:rFonts w:cs="Arial"/>
          <w:color w:val="222222"/>
          <w:shd w:val="clear" w:color="auto" w:fill="FFFFFF"/>
        </w:rPr>
        <w:t>.</w:t>
      </w:r>
      <w:r w:rsidRPr="00FC165B">
        <w:rPr>
          <w:rFonts w:cs="Arial"/>
          <w:color w:val="222222"/>
          <w:shd w:val="clear" w:color="auto" w:fill="FFFFFF"/>
        </w:rPr>
        <w:t xml:space="preserve"> Roles of intestinal epithelial cells in the maintenance of gut homeostasis. </w:t>
      </w:r>
      <w:r>
        <w:rPr>
          <w:rFonts w:cs="Arial"/>
          <w:color w:val="222222"/>
          <w:shd w:val="clear" w:color="auto" w:fill="FFFFFF"/>
        </w:rPr>
        <w:t>Experimental Molecular Medicine 2017</w:t>
      </w:r>
      <w:r w:rsidRPr="00FC165B">
        <w:rPr>
          <w:rFonts w:cs="Arial"/>
          <w:color w:val="222222"/>
          <w:shd w:val="clear" w:color="auto" w:fill="FFFFFF"/>
        </w:rPr>
        <w:t> </w:t>
      </w:r>
      <w:r w:rsidRPr="00FC165B">
        <w:rPr>
          <w:rFonts w:cs="Arial"/>
          <w:b/>
          <w:bCs/>
          <w:color w:val="222222"/>
          <w:shd w:val="clear" w:color="auto" w:fill="FFFFFF"/>
        </w:rPr>
        <w:t>49, </w:t>
      </w:r>
      <w:r w:rsidRPr="00FC165B">
        <w:rPr>
          <w:rFonts w:cs="Arial"/>
          <w:color w:val="222222"/>
          <w:shd w:val="clear" w:color="auto" w:fill="FFFFFF"/>
        </w:rPr>
        <w:t>e338 https://doi.org/10.1038/emm.2017.20</w:t>
      </w:r>
    </w:p>
    <w:p w:rsidR="0048611B" w:rsidRPr="00F94FA9" w:rsidRDefault="0048611B" w:rsidP="00540FEA">
      <w:pPr>
        <w:pStyle w:val="ListParagraph"/>
        <w:spacing w:before="240"/>
        <w:ind w:left="0"/>
        <w:rPr>
          <w:szCs w:val="24"/>
        </w:rPr>
      </w:pPr>
    </w:p>
    <w:p w:rsidR="0048611B" w:rsidRDefault="0048611B" w:rsidP="00540FEA">
      <w:pPr>
        <w:pStyle w:val="ListParagraph"/>
        <w:spacing w:before="240"/>
        <w:ind w:left="0"/>
        <w:rPr>
          <w:szCs w:val="24"/>
        </w:rPr>
      </w:pPr>
      <w:r w:rsidRPr="00F94FA9">
        <w:rPr>
          <w:szCs w:val="24"/>
        </w:rPr>
        <w:t xml:space="preserve">Oleskin AV. Shendarov BA. Neuromodulatory effects and targets of the SCFAs and gassotransmitters produced by the human symbiotic microbiota. Microbial Ecology in Health and Disease 2016 </w:t>
      </w:r>
      <w:r w:rsidRPr="00F94FA9">
        <w:rPr>
          <w:b/>
          <w:szCs w:val="24"/>
        </w:rPr>
        <w:t>21</w:t>
      </w:r>
      <w:r w:rsidRPr="00F94FA9">
        <w:rPr>
          <w:szCs w:val="24"/>
        </w:rPr>
        <w:t xml:space="preserve">: 30971 </w:t>
      </w:r>
      <w:r w:rsidR="00FC5E57">
        <w:rPr>
          <w:szCs w:val="24"/>
        </w:rPr>
        <w:t>–</w:t>
      </w:r>
      <w:r w:rsidRPr="00F94FA9">
        <w:rPr>
          <w:szCs w:val="24"/>
        </w:rPr>
        <w:t xml:space="preserve"> 30982</w:t>
      </w:r>
      <w:r w:rsidR="00FC5E57">
        <w:rPr>
          <w:szCs w:val="24"/>
        </w:rPr>
        <w:t>.</w:t>
      </w:r>
    </w:p>
    <w:p w:rsidR="00FC5E57" w:rsidRDefault="00FC5E57" w:rsidP="00540FEA">
      <w:pPr>
        <w:pStyle w:val="ListParagraph"/>
        <w:spacing w:before="240"/>
        <w:ind w:left="0"/>
        <w:rPr>
          <w:szCs w:val="24"/>
        </w:rPr>
      </w:pPr>
    </w:p>
    <w:p w:rsidR="00FC5E57" w:rsidRPr="00FC5E57" w:rsidRDefault="00FC5E57" w:rsidP="00540FEA">
      <w:pPr>
        <w:pStyle w:val="ListParagraph"/>
        <w:spacing w:before="240"/>
        <w:ind w:left="0"/>
        <w:rPr>
          <w:szCs w:val="24"/>
        </w:rPr>
      </w:pPr>
      <w:r>
        <w:rPr>
          <w:szCs w:val="24"/>
        </w:rPr>
        <w:t xml:space="preserve">PatersonMJ, Oh S, Underhill DM. Hosr-microbe interactions: commensal fungi in the gut. Current Opinion in Microbiology 2017 </w:t>
      </w:r>
      <w:r>
        <w:rPr>
          <w:b/>
          <w:bCs/>
          <w:szCs w:val="24"/>
        </w:rPr>
        <w:t>40</w:t>
      </w:r>
      <w:r>
        <w:rPr>
          <w:szCs w:val="24"/>
        </w:rPr>
        <w:t xml:space="preserve">: 131 </w:t>
      </w:r>
      <w:r w:rsidR="00681A96">
        <w:rPr>
          <w:szCs w:val="24"/>
        </w:rPr>
        <w:t>–</w:t>
      </w:r>
      <w:r>
        <w:rPr>
          <w:szCs w:val="24"/>
        </w:rPr>
        <w:t xml:space="preserve"> 137</w:t>
      </w:r>
      <w:r w:rsidR="00681A96">
        <w:rPr>
          <w:szCs w:val="24"/>
        </w:rPr>
        <w:t>.</w:t>
      </w:r>
    </w:p>
    <w:p w:rsidR="00746093" w:rsidRPr="00F94FA9" w:rsidRDefault="00746093" w:rsidP="00540FEA">
      <w:pPr>
        <w:pStyle w:val="ListParagraph"/>
        <w:spacing w:before="240"/>
        <w:ind w:left="0"/>
        <w:rPr>
          <w:szCs w:val="24"/>
        </w:rPr>
      </w:pPr>
    </w:p>
    <w:p w:rsidR="00746093" w:rsidRPr="00F94FA9" w:rsidRDefault="00746093" w:rsidP="00540FEA">
      <w:pPr>
        <w:pStyle w:val="ListParagraph"/>
        <w:spacing w:before="240"/>
        <w:ind w:left="0"/>
        <w:rPr>
          <w:szCs w:val="24"/>
        </w:rPr>
      </w:pPr>
      <w:r w:rsidRPr="00F94FA9">
        <w:rPr>
          <w:szCs w:val="24"/>
        </w:rPr>
        <w:t xml:space="preserve">Patrone V, Minuti A, Lizier M, Miragoli F, Luccini F, Trevisi E, </w:t>
      </w:r>
      <w:r w:rsidR="00A76EBB" w:rsidRPr="00F94FA9">
        <w:rPr>
          <w:szCs w:val="24"/>
        </w:rPr>
        <w:t xml:space="preserve">Rossi F, Callegari ML. Differential effects of coconut versus soy oil on gut microbiota composition and predicted metabolic function in adult mice. BMC Genomics 2018 </w:t>
      </w:r>
      <w:r w:rsidR="00A76EBB" w:rsidRPr="00F94FA9">
        <w:rPr>
          <w:b/>
          <w:szCs w:val="24"/>
        </w:rPr>
        <w:t>19</w:t>
      </w:r>
      <w:r w:rsidR="00A76EBB" w:rsidRPr="00F94FA9">
        <w:rPr>
          <w:szCs w:val="24"/>
        </w:rPr>
        <w:t xml:space="preserve">: 808 </w:t>
      </w:r>
      <w:r w:rsidR="00615213">
        <w:rPr>
          <w:szCs w:val="24"/>
        </w:rPr>
        <w:t>–</w:t>
      </w:r>
      <w:r w:rsidR="00A76EBB" w:rsidRPr="00F94FA9">
        <w:rPr>
          <w:szCs w:val="24"/>
        </w:rPr>
        <w:t xml:space="preserve"> 824</w:t>
      </w:r>
      <w:r w:rsidR="00615213">
        <w:rPr>
          <w:szCs w:val="24"/>
        </w:rPr>
        <w:t>.</w:t>
      </w:r>
    </w:p>
    <w:p w:rsidR="00F55126" w:rsidRPr="00F94FA9" w:rsidRDefault="00F55126" w:rsidP="00DC0CF2">
      <w:pPr>
        <w:spacing w:before="240"/>
        <w:rPr>
          <w:rStyle w:val="SubtleReference"/>
          <w:smallCaps w:val="0"/>
          <w:color w:val="auto"/>
        </w:rPr>
      </w:pPr>
      <w:r w:rsidRPr="00F94FA9">
        <w:rPr>
          <w:rStyle w:val="SubtleReference"/>
          <w:smallCaps w:val="0"/>
          <w:color w:val="auto"/>
        </w:rPr>
        <w:t>Petriello MC, Hoffmann JB, Vsevolozhskaya O, Morris A</w:t>
      </w:r>
      <w:r w:rsidR="00331B91">
        <w:rPr>
          <w:rStyle w:val="SubtleReference"/>
          <w:smallCaps w:val="0"/>
          <w:color w:val="auto"/>
        </w:rPr>
        <w:t>J</w:t>
      </w:r>
      <w:r w:rsidRPr="00F94FA9">
        <w:rPr>
          <w:rStyle w:val="SubtleReference"/>
          <w:smallCaps w:val="0"/>
          <w:color w:val="auto"/>
        </w:rPr>
        <w:t xml:space="preserve">, Hennig B. Dioxin-like PCB 126 increases intestinal inflammation and disrupts gut microbiota and metabolic homeostasis. Environmental Pollution 2018 </w:t>
      </w:r>
      <w:r w:rsidRPr="00F94FA9">
        <w:rPr>
          <w:rStyle w:val="SubtleReference"/>
          <w:b/>
          <w:smallCaps w:val="0"/>
          <w:color w:val="auto"/>
        </w:rPr>
        <w:t>242</w:t>
      </w:r>
      <w:r w:rsidRPr="00F94FA9">
        <w:rPr>
          <w:rStyle w:val="SubtleReference"/>
          <w:smallCaps w:val="0"/>
          <w:color w:val="auto"/>
        </w:rPr>
        <w:t>: 1022 – 1032.</w:t>
      </w:r>
    </w:p>
    <w:p w:rsidR="00D8136A" w:rsidRPr="002D3332" w:rsidRDefault="00D8136A" w:rsidP="005035D0">
      <w:pPr>
        <w:pStyle w:val="ListParagraph"/>
        <w:spacing w:before="240"/>
        <w:ind w:left="0"/>
        <w:rPr>
          <w:rFonts w:cs="Arial"/>
          <w:szCs w:val="24"/>
          <w:shd w:val="clear" w:color="auto" w:fill="FFFFFF"/>
        </w:rPr>
      </w:pPr>
      <w:r w:rsidRPr="00F94FA9">
        <w:t xml:space="preserve">Pinget G, Tan J, janac B, Kaakbush NO, Angelatos AS, O’Sullivan J, Koay YC, Sierro F, Davis J, Divakarta SK, Khagal D, Moore RJ, Stanley D, Chrzanawski W, macia L. Impact of the food additive titanium dioxide (E117) on gut microbiota-host interaction. Frontiers in Nutrition 2019 </w:t>
      </w:r>
      <w:r w:rsidRPr="00F94FA9">
        <w:rPr>
          <w:b/>
        </w:rPr>
        <w:t>6</w:t>
      </w:r>
      <w:r w:rsidRPr="00F94FA9">
        <w:t xml:space="preserve">:57 - </w:t>
      </w:r>
      <w:r w:rsidRPr="002D3332">
        <w:rPr>
          <w:szCs w:val="24"/>
        </w:rPr>
        <w:t xml:space="preserve">69 </w:t>
      </w:r>
      <w:r w:rsidR="00D974A2" w:rsidRPr="002D3332">
        <w:rPr>
          <w:szCs w:val="24"/>
        </w:rPr>
        <w:t>doi</w:t>
      </w:r>
      <w:r w:rsidR="00981C47" w:rsidRPr="002D3332">
        <w:rPr>
          <w:szCs w:val="24"/>
        </w:rPr>
        <w:t>:</w:t>
      </w:r>
      <w:r w:rsidR="00981C47" w:rsidRPr="002D3332">
        <w:rPr>
          <w:rFonts w:cs="Arial"/>
          <w:szCs w:val="24"/>
          <w:shd w:val="clear" w:color="auto" w:fill="FFFFFF"/>
        </w:rPr>
        <w:t>10.3389/fnut.2019.00057.</w:t>
      </w:r>
    </w:p>
    <w:p w:rsidR="00662366" w:rsidRPr="002D3332" w:rsidRDefault="00662366" w:rsidP="005035D0">
      <w:pPr>
        <w:pStyle w:val="ListParagraph"/>
        <w:spacing w:before="240"/>
        <w:ind w:left="0"/>
        <w:rPr>
          <w:rFonts w:cs="Arial"/>
          <w:szCs w:val="24"/>
          <w:shd w:val="clear" w:color="auto" w:fill="FFFFFF"/>
        </w:rPr>
      </w:pPr>
    </w:p>
    <w:p w:rsidR="00662366" w:rsidRPr="002D3332" w:rsidRDefault="00662366" w:rsidP="005035D0">
      <w:pPr>
        <w:pStyle w:val="ListParagraph"/>
        <w:spacing w:before="240"/>
        <w:ind w:left="0"/>
        <w:rPr>
          <w:rFonts w:cs="Arial"/>
          <w:i/>
          <w:iCs/>
          <w:szCs w:val="24"/>
          <w:shd w:val="clear" w:color="auto" w:fill="FFFFFF"/>
        </w:rPr>
      </w:pPr>
      <w:r w:rsidRPr="002D3332">
        <w:rPr>
          <w:rFonts w:cs="Arial"/>
          <w:szCs w:val="24"/>
          <w:shd w:val="clear" w:color="auto" w:fill="FFFFFF"/>
        </w:rPr>
        <w:t>Ramezani A, Nolin TD, Barrows IR, Serrano MG, Buck GA, Regunathan-Shenk R, West RE III, Latham PS, Amdur R, Raj DS</w:t>
      </w:r>
      <w:r w:rsidR="002D3332" w:rsidRPr="002D3332">
        <w:rPr>
          <w:rFonts w:cs="Arial"/>
          <w:szCs w:val="24"/>
          <w:shd w:val="clear" w:color="auto" w:fill="FFFFFF"/>
        </w:rPr>
        <w:t xml:space="preserve">. Gut colonization with methanogenic archaea lowers plasma trimethylamine N-oxide concentrations in </w:t>
      </w:r>
      <w:r w:rsidR="002D3332" w:rsidRPr="002D3332">
        <w:rPr>
          <w:rFonts w:cs="Arial"/>
          <w:i/>
          <w:iCs/>
          <w:szCs w:val="24"/>
          <w:shd w:val="clear" w:color="auto" w:fill="FFFFFF"/>
        </w:rPr>
        <w:t xml:space="preserve">apolipoprotein e </w:t>
      </w:r>
      <w:r w:rsidR="002D3332" w:rsidRPr="002D3332">
        <w:rPr>
          <w:rFonts w:cs="Arial"/>
          <w:szCs w:val="24"/>
          <w:shd w:val="clear" w:color="auto" w:fill="FFFFFF"/>
        </w:rPr>
        <w:t>-/- mice</w:t>
      </w:r>
      <w:r w:rsidR="002D3332">
        <w:rPr>
          <w:rFonts w:cs="Arial"/>
          <w:szCs w:val="24"/>
          <w:shd w:val="clear" w:color="auto" w:fill="FFFFFF"/>
        </w:rPr>
        <w:t xml:space="preserve">. Nature Scientific Reports 2018 </w:t>
      </w:r>
      <w:r w:rsidR="002D3332">
        <w:rPr>
          <w:rFonts w:cs="Arial"/>
          <w:b/>
          <w:bCs/>
          <w:szCs w:val="24"/>
          <w:shd w:val="clear" w:color="auto" w:fill="FFFFFF"/>
        </w:rPr>
        <w:t>8</w:t>
      </w:r>
      <w:r w:rsidR="002D3332">
        <w:rPr>
          <w:rFonts w:cs="Arial"/>
          <w:szCs w:val="24"/>
          <w:shd w:val="clear" w:color="auto" w:fill="FFFFFF"/>
        </w:rPr>
        <w:t>14752 – 14762.</w:t>
      </w:r>
    </w:p>
    <w:p w:rsidR="00851C2D" w:rsidRPr="002D3332" w:rsidRDefault="00851C2D" w:rsidP="005035D0">
      <w:pPr>
        <w:pStyle w:val="ListParagraph"/>
        <w:spacing w:before="240"/>
        <w:ind w:left="0"/>
        <w:rPr>
          <w:rFonts w:cs="Arial"/>
          <w:szCs w:val="24"/>
          <w:shd w:val="clear" w:color="auto" w:fill="FFFFFF"/>
        </w:rPr>
      </w:pPr>
    </w:p>
    <w:p w:rsidR="00A8724F" w:rsidRDefault="00851C2D" w:rsidP="00A8724F">
      <w:pPr>
        <w:autoSpaceDE w:val="0"/>
        <w:autoSpaceDN w:val="0"/>
        <w:adjustRightInd w:val="0"/>
        <w:spacing w:after="0" w:line="240" w:lineRule="auto"/>
        <w:rPr>
          <w:rFonts w:cs="Arial"/>
          <w:color w:val="231F20"/>
          <w:szCs w:val="24"/>
        </w:rPr>
      </w:pPr>
      <w:r w:rsidRPr="00E24517">
        <w:rPr>
          <w:rFonts w:cs="Arial"/>
          <w:color w:val="231F20"/>
          <w:szCs w:val="24"/>
        </w:rPr>
        <w:t>Raymon</w:t>
      </w:r>
      <w:r w:rsidR="00E24517" w:rsidRPr="00E24517">
        <w:rPr>
          <w:rFonts w:cs="Arial"/>
          <w:color w:val="231F20"/>
          <w:szCs w:val="24"/>
        </w:rPr>
        <w:t xml:space="preserve">d F, </w:t>
      </w:r>
      <w:r w:rsidRPr="00E24517">
        <w:rPr>
          <w:rFonts w:cs="Arial"/>
          <w:color w:val="231F20"/>
          <w:szCs w:val="24"/>
        </w:rPr>
        <w:t>Ouameu</w:t>
      </w:r>
      <w:r w:rsidR="00E24517" w:rsidRPr="00E24517">
        <w:rPr>
          <w:rFonts w:cs="Arial"/>
          <w:color w:val="231F20"/>
          <w:szCs w:val="24"/>
        </w:rPr>
        <w:t>r AA</w:t>
      </w:r>
      <w:r w:rsidRPr="00E24517">
        <w:rPr>
          <w:rFonts w:cs="Arial"/>
          <w:color w:val="231F20"/>
          <w:szCs w:val="24"/>
        </w:rPr>
        <w:t>, Dérasp</w:t>
      </w:r>
      <w:r w:rsidR="00E24517" w:rsidRPr="00E24517">
        <w:rPr>
          <w:rFonts w:cs="Arial"/>
          <w:color w:val="231F20"/>
          <w:szCs w:val="24"/>
        </w:rPr>
        <w:t>e M</w:t>
      </w:r>
      <w:r w:rsidRPr="00E24517">
        <w:rPr>
          <w:rFonts w:cs="Arial"/>
          <w:color w:val="231F20"/>
          <w:szCs w:val="24"/>
        </w:rPr>
        <w:t>, Iqba</w:t>
      </w:r>
      <w:r w:rsidR="00E24517" w:rsidRPr="00E24517">
        <w:rPr>
          <w:rFonts w:cs="Arial"/>
          <w:color w:val="231F20"/>
          <w:szCs w:val="24"/>
        </w:rPr>
        <w:t xml:space="preserve">l N, </w:t>
      </w:r>
      <w:r w:rsidRPr="00E24517">
        <w:rPr>
          <w:rFonts w:cs="Arial"/>
          <w:color w:val="231F20"/>
          <w:szCs w:val="24"/>
        </w:rPr>
        <w:t>Gingra</w:t>
      </w:r>
      <w:r w:rsidR="00E24517" w:rsidRPr="00E24517">
        <w:rPr>
          <w:rFonts w:cs="Arial"/>
          <w:color w:val="231F20"/>
          <w:szCs w:val="24"/>
        </w:rPr>
        <w:t xml:space="preserve">s H, </w:t>
      </w:r>
      <w:r w:rsidRPr="00E24517">
        <w:rPr>
          <w:rFonts w:cs="Arial"/>
          <w:color w:val="231F20"/>
          <w:szCs w:val="24"/>
        </w:rPr>
        <w:t>Drid</w:t>
      </w:r>
      <w:r w:rsidR="00E24517" w:rsidRPr="00E24517">
        <w:rPr>
          <w:rFonts w:cs="Arial"/>
          <w:color w:val="231F20"/>
          <w:szCs w:val="24"/>
        </w:rPr>
        <w:t>is B,</w:t>
      </w:r>
      <w:r w:rsidRPr="00E24517">
        <w:rPr>
          <w:rFonts w:cs="Arial"/>
          <w:color w:val="231F20"/>
          <w:szCs w:val="24"/>
        </w:rPr>
        <w:t xml:space="preserve"> Leproho</w:t>
      </w:r>
      <w:r w:rsidR="00E24517" w:rsidRPr="00E24517">
        <w:rPr>
          <w:rFonts w:cs="Arial"/>
          <w:color w:val="231F20"/>
          <w:szCs w:val="24"/>
        </w:rPr>
        <w:t xml:space="preserve">n P, </w:t>
      </w:r>
      <w:r w:rsidRPr="00E24517">
        <w:rPr>
          <w:rFonts w:cs="Arial"/>
          <w:color w:val="231F20"/>
          <w:szCs w:val="24"/>
        </w:rPr>
        <w:t>Plant</w:t>
      </w:r>
      <w:r w:rsidR="00E24517" w:rsidRPr="00E24517">
        <w:rPr>
          <w:rFonts w:cs="Arial"/>
          <w:color w:val="231F20"/>
          <w:szCs w:val="24"/>
        </w:rPr>
        <w:t>e, P-L</w:t>
      </w:r>
      <w:r w:rsidRPr="00E24517">
        <w:rPr>
          <w:rFonts w:cs="Arial"/>
          <w:color w:val="231F20"/>
          <w:szCs w:val="24"/>
        </w:rPr>
        <w:t>, Girou</w:t>
      </w:r>
      <w:r w:rsidR="00E24517" w:rsidRPr="00E24517">
        <w:rPr>
          <w:rFonts w:cs="Arial"/>
          <w:color w:val="231F20"/>
          <w:szCs w:val="24"/>
        </w:rPr>
        <w:t>x R</w:t>
      </w:r>
      <w:r w:rsidRPr="00E24517">
        <w:rPr>
          <w:rFonts w:cs="Arial"/>
          <w:color w:val="231F20"/>
          <w:szCs w:val="24"/>
        </w:rPr>
        <w:t>, Bérub</w:t>
      </w:r>
      <w:r w:rsidR="00E24517" w:rsidRPr="00E24517">
        <w:rPr>
          <w:rFonts w:cs="Arial"/>
          <w:color w:val="231F20"/>
          <w:szCs w:val="24"/>
        </w:rPr>
        <w:t xml:space="preserve">e E, </w:t>
      </w:r>
      <w:r w:rsidRPr="00E24517">
        <w:rPr>
          <w:rFonts w:cs="Arial"/>
          <w:color w:val="231F20"/>
          <w:szCs w:val="24"/>
        </w:rPr>
        <w:t>Frenett</w:t>
      </w:r>
      <w:r w:rsidR="00E24517" w:rsidRPr="00E24517">
        <w:rPr>
          <w:rFonts w:cs="Arial"/>
          <w:color w:val="231F20"/>
          <w:szCs w:val="24"/>
        </w:rPr>
        <w:t>e J,</w:t>
      </w:r>
      <w:r w:rsidRPr="00E24517">
        <w:rPr>
          <w:rFonts w:cs="Arial"/>
          <w:color w:val="231F20"/>
          <w:szCs w:val="24"/>
        </w:rPr>
        <w:t xml:space="preserve"> Boudrea</w:t>
      </w:r>
      <w:r w:rsidR="00E24517" w:rsidRPr="00E24517">
        <w:rPr>
          <w:rFonts w:cs="Arial"/>
          <w:color w:val="231F20"/>
          <w:szCs w:val="24"/>
        </w:rPr>
        <w:t>u DK</w:t>
      </w:r>
      <w:r w:rsidRPr="00E24517">
        <w:rPr>
          <w:rFonts w:cs="Arial"/>
          <w:color w:val="231F20"/>
          <w:szCs w:val="24"/>
        </w:rPr>
        <w:t>, Simar</w:t>
      </w:r>
      <w:r w:rsidR="00E24517" w:rsidRPr="00E24517">
        <w:rPr>
          <w:rFonts w:cs="Arial"/>
          <w:color w:val="231F20"/>
          <w:szCs w:val="24"/>
        </w:rPr>
        <w:t>d J-L</w:t>
      </w:r>
      <w:r w:rsidRPr="00E24517">
        <w:rPr>
          <w:rFonts w:cs="Arial"/>
          <w:color w:val="231F20"/>
          <w:szCs w:val="24"/>
        </w:rPr>
        <w:t>, Chabo</w:t>
      </w:r>
      <w:r w:rsidR="00E24517" w:rsidRPr="00E24517">
        <w:rPr>
          <w:rFonts w:cs="Arial"/>
          <w:color w:val="231F20"/>
          <w:szCs w:val="24"/>
        </w:rPr>
        <w:t xml:space="preserve">t I, </w:t>
      </w:r>
      <w:r w:rsidRPr="00E24517">
        <w:rPr>
          <w:rFonts w:cs="Arial"/>
          <w:color w:val="231F20"/>
          <w:szCs w:val="24"/>
        </w:rPr>
        <w:t>Doming</w:t>
      </w:r>
      <w:r w:rsidR="00E24517" w:rsidRPr="00E24517">
        <w:rPr>
          <w:rFonts w:cs="Arial"/>
          <w:color w:val="231F20"/>
          <w:szCs w:val="24"/>
        </w:rPr>
        <w:t>o M-C</w:t>
      </w:r>
      <w:r w:rsidRPr="00E24517">
        <w:rPr>
          <w:rFonts w:cs="Arial"/>
          <w:color w:val="231F20"/>
          <w:szCs w:val="24"/>
        </w:rPr>
        <w:t>, Trottie</w:t>
      </w:r>
      <w:r w:rsidR="00E24517" w:rsidRPr="00E24517">
        <w:rPr>
          <w:rFonts w:cs="Arial"/>
          <w:color w:val="231F20"/>
          <w:szCs w:val="24"/>
        </w:rPr>
        <w:t>r S</w:t>
      </w:r>
      <w:r w:rsidRPr="00E24517">
        <w:rPr>
          <w:rFonts w:cs="Arial"/>
          <w:color w:val="231F20"/>
          <w:szCs w:val="24"/>
        </w:rPr>
        <w:t>, Boissino</w:t>
      </w:r>
      <w:r w:rsidR="00E24517" w:rsidRPr="00E24517">
        <w:rPr>
          <w:rFonts w:cs="Arial"/>
          <w:color w:val="231F20"/>
          <w:szCs w:val="24"/>
        </w:rPr>
        <w:t>t M,</w:t>
      </w:r>
      <w:r w:rsidRPr="00E24517">
        <w:rPr>
          <w:rFonts w:cs="Arial"/>
          <w:color w:val="231F20"/>
          <w:szCs w:val="24"/>
        </w:rPr>
        <w:t xml:space="preserve"> Huletsk</w:t>
      </w:r>
      <w:r w:rsidR="00E24517" w:rsidRPr="00E24517">
        <w:rPr>
          <w:rFonts w:cs="Arial"/>
          <w:color w:val="231F20"/>
          <w:szCs w:val="24"/>
        </w:rPr>
        <w:t>y A</w:t>
      </w:r>
      <w:r w:rsidRPr="00E24517">
        <w:rPr>
          <w:rFonts w:cs="Arial"/>
          <w:color w:val="231F20"/>
          <w:szCs w:val="24"/>
        </w:rPr>
        <w:t>, Ro</w:t>
      </w:r>
      <w:r w:rsidR="00E24517" w:rsidRPr="00E24517">
        <w:rPr>
          <w:rFonts w:cs="Arial"/>
          <w:color w:val="231F20"/>
          <w:szCs w:val="24"/>
        </w:rPr>
        <w:t>y PH</w:t>
      </w:r>
      <w:r w:rsidRPr="00E24517">
        <w:rPr>
          <w:rFonts w:cs="Arial"/>
          <w:color w:val="231F20"/>
          <w:szCs w:val="24"/>
        </w:rPr>
        <w:t>,</w:t>
      </w:r>
      <w:r w:rsidR="00E24517" w:rsidRPr="00E24517">
        <w:rPr>
          <w:rFonts w:cs="Arial"/>
          <w:color w:val="231F20"/>
          <w:szCs w:val="24"/>
        </w:rPr>
        <w:t xml:space="preserve"> </w:t>
      </w:r>
      <w:r w:rsidRPr="00E24517">
        <w:rPr>
          <w:rFonts w:cs="Arial"/>
          <w:color w:val="231F20"/>
          <w:szCs w:val="24"/>
        </w:rPr>
        <w:t>Ouellett</w:t>
      </w:r>
      <w:r w:rsidR="00E24517" w:rsidRPr="00E24517">
        <w:rPr>
          <w:rFonts w:cs="Arial"/>
          <w:color w:val="231F20"/>
          <w:szCs w:val="24"/>
        </w:rPr>
        <w:t>e M</w:t>
      </w:r>
      <w:r w:rsidRPr="00E24517">
        <w:rPr>
          <w:rFonts w:cs="Arial"/>
          <w:color w:val="231F20"/>
          <w:szCs w:val="24"/>
        </w:rPr>
        <w:t>, Bergero</w:t>
      </w:r>
      <w:r w:rsidR="00E24517" w:rsidRPr="00E24517">
        <w:rPr>
          <w:rFonts w:cs="Arial"/>
          <w:color w:val="231F20"/>
          <w:szCs w:val="24"/>
        </w:rPr>
        <w:t>n MG,</w:t>
      </w:r>
      <w:r w:rsidRPr="00E24517">
        <w:rPr>
          <w:rFonts w:cs="Arial"/>
          <w:color w:val="231F20"/>
          <w:szCs w:val="24"/>
        </w:rPr>
        <w:t xml:space="preserve"> Corbei</w:t>
      </w:r>
      <w:r w:rsidR="00E24517" w:rsidRPr="00E24517">
        <w:rPr>
          <w:rFonts w:cs="Arial"/>
          <w:color w:val="231F20"/>
          <w:szCs w:val="24"/>
        </w:rPr>
        <w:t>l J.</w:t>
      </w:r>
      <w:r w:rsidR="00A8724F" w:rsidRPr="00A8724F">
        <w:rPr>
          <w:rFonts w:cs="Arial"/>
          <w:color w:val="231F20"/>
          <w:szCs w:val="24"/>
        </w:rPr>
        <w:t xml:space="preserve"> </w:t>
      </w:r>
      <w:r w:rsidR="00A8724F" w:rsidRPr="00E24517">
        <w:rPr>
          <w:rFonts w:cs="Arial"/>
          <w:color w:val="231F20"/>
          <w:szCs w:val="24"/>
        </w:rPr>
        <w:t>The initial state of the human gut microbiome</w:t>
      </w:r>
      <w:r w:rsidR="00A8724F">
        <w:rPr>
          <w:rFonts w:cs="Arial"/>
          <w:color w:val="231F20"/>
          <w:szCs w:val="24"/>
        </w:rPr>
        <w:t xml:space="preserve"> </w:t>
      </w:r>
      <w:r w:rsidR="00A8724F" w:rsidRPr="00E24517">
        <w:rPr>
          <w:rFonts w:cs="Arial"/>
          <w:color w:val="231F20"/>
          <w:szCs w:val="24"/>
        </w:rPr>
        <w:t>determines its reshaping by antibiotics</w:t>
      </w:r>
      <w:r w:rsidR="00A8724F">
        <w:rPr>
          <w:rFonts w:cs="Arial"/>
          <w:color w:val="231F20"/>
          <w:szCs w:val="24"/>
        </w:rPr>
        <w:t xml:space="preserve">. </w:t>
      </w:r>
      <w:r w:rsidR="00A8724F" w:rsidRPr="00A8724F">
        <w:rPr>
          <w:rFonts w:cs="Arial"/>
          <w:color w:val="231F20"/>
          <w:szCs w:val="24"/>
        </w:rPr>
        <w:t xml:space="preserve">The ISME Journal 2016 </w:t>
      </w:r>
      <w:r w:rsidR="00A8724F" w:rsidRPr="00A8724F">
        <w:rPr>
          <w:rFonts w:cs="Arial"/>
          <w:b/>
          <w:color w:val="231F20"/>
          <w:szCs w:val="24"/>
        </w:rPr>
        <w:t>10</w:t>
      </w:r>
      <w:r w:rsidR="00A8724F">
        <w:rPr>
          <w:rFonts w:cs="Arial"/>
          <w:color w:val="231F20"/>
          <w:szCs w:val="24"/>
        </w:rPr>
        <w:t>:</w:t>
      </w:r>
      <w:r w:rsidR="00A8724F" w:rsidRPr="00A8724F">
        <w:rPr>
          <w:rFonts w:cs="Arial"/>
          <w:color w:val="231F20"/>
          <w:szCs w:val="24"/>
        </w:rPr>
        <w:t xml:space="preserve"> 707–720</w:t>
      </w:r>
      <w:r w:rsidR="0009759D">
        <w:rPr>
          <w:rFonts w:cs="Arial"/>
          <w:color w:val="231F20"/>
          <w:szCs w:val="24"/>
        </w:rPr>
        <w:t>.</w:t>
      </w:r>
    </w:p>
    <w:p w:rsidR="0009759D" w:rsidRDefault="0009759D" w:rsidP="00A8724F">
      <w:pPr>
        <w:autoSpaceDE w:val="0"/>
        <w:autoSpaceDN w:val="0"/>
        <w:adjustRightInd w:val="0"/>
        <w:spacing w:after="0" w:line="240" w:lineRule="auto"/>
        <w:rPr>
          <w:rFonts w:cs="Arial"/>
          <w:color w:val="231F20"/>
          <w:szCs w:val="24"/>
        </w:rPr>
      </w:pPr>
    </w:p>
    <w:p w:rsidR="001D2143" w:rsidRDefault="0009759D" w:rsidP="001D2143">
      <w:pPr>
        <w:autoSpaceDE w:val="0"/>
        <w:autoSpaceDN w:val="0"/>
        <w:adjustRightInd w:val="0"/>
        <w:spacing w:after="0" w:line="240" w:lineRule="auto"/>
      </w:pPr>
      <w:r>
        <w:rPr>
          <w:rFonts w:cs="Arial"/>
          <w:color w:val="231F20"/>
          <w:szCs w:val="24"/>
        </w:rPr>
        <w:t xml:space="preserve">Raymond F, Boissinot M, Ouameur AA, Déraspe M, Plante P-L, Kpanau SR, Berubé E, Huletski A, Roy PH, Ouellette M, Bergeron MG, Corbeil J. Culture-enriched human gut microbiomes reveal core and accessory resistance genes. Microbiome 2019 </w:t>
      </w:r>
      <w:r>
        <w:rPr>
          <w:rFonts w:cs="Arial"/>
          <w:b/>
          <w:bCs/>
          <w:color w:val="231F20"/>
          <w:szCs w:val="24"/>
        </w:rPr>
        <w:t>7</w:t>
      </w:r>
      <w:r>
        <w:rPr>
          <w:rFonts w:cs="Arial"/>
          <w:color w:val="231F20"/>
          <w:szCs w:val="24"/>
        </w:rPr>
        <w:t>: 56 – 68.</w:t>
      </w:r>
      <w:r w:rsidR="001D2143" w:rsidRPr="001D2143">
        <w:t xml:space="preserve"> </w:t>
      </w:r>
    </w:p>
    <w:p w:rsidR="001D2143" w:rsidRDefault="001D2143" w:rsidP="001D2143">
      <w:pPr>
        <w:autoSpaceDE w:val="0"/>
        <w:autoSpaceDN w:val="0"/>
        <w:adjustRightInd w:val="0"/>
        <w:spacing w:after="0" w:line="240" w:lineRule="auto"/>
      </w:pPr>
    </w:p>
    <w:p w:rsidR="00D8136A" w:rsidRPr="00F94FA9" w:rsidRDefault="00D8136A" w:rsidP="009149E2">
      <w:pPr>
        <w:spacing w:before="240"/>
        <w:rPr>
          <w:szCs w:val="24"/>
        </w:rPr>
      </w:pPr>
      <w:r w:rsidRPr="00F94FA9">
        <w:t xml:space="preserve">Reygner J, Condette CJ, Bruneau A, Delanaud S, Rhazi L, Depeint F, Abdennebi-Najar L, Bach V, Mayeur C, Khorsi-Cauet H. Changes in composition and function of human intestinal microbiota exposed to chlorpyrifos in oil as assessed by the SHIME Model. International Journal of Environmental Research and Public Health 2016 </w:t>
      </w:r>
      <w:r w:rsidRPr="00F94FA9">
        <w:rPr>
          <w:b/>
        </w:rPr>
        <w:t>13</w:t>
      </w:r>
      <w:r w:rsidRPr="00F94FA9">
        <w:t>: 1088 – 1105.</w:t>
      </w:r>
      <w:r w:rsidRPr="00F94FA9">
        <w:tab/>
      </w:r>
    </w:p>
    <w:p w:rsidR="00D8136A" w:rsidRPr="00F94FA9" w:rsidRDefault="00D8136A" w:rsidP="009149E2">
      <w:pPr>
        <w:pStyle w:val="ListParagraph"/>
        <w:ind w:left="0"/>
      </w:pPr>
      <w:r w:rsidRPr="00F94FA9">
        <w:t xml:space="preserve">Reygner J, Lichtenburger L, Elmhiri G, Dou S, Bahi-Jaber N, Rhazi L, deoeint F, Bach V, Khorsi-Cauet H, Abdennebi-Najar L. Inulin supplementation lowered the metabolic defects of prolonged exposure to chlorpyrifos from gestation to young adult stage in offspring rats. PLOS One 2016 </w:t>
      </w:r>
      <w:r w:rsidRPr="00F94FA9">
        <w:rPr>
          <w:b/>
        </w:rPr>
        <w:t>11</w:t>
      </w:r>
      <w:r w:rsidRPr="00F94FA9">
        <w:t>(10):e164614</w:t>
      </w:r>
      <w:r w:rsidR="00F3088C" w:rsidRPr="00F94FA9">
        <w:t>.</w:t>
      </w:r>
    </w:p>
    <w:p w:rsidR="00B45125" w:rsidRDefault="00B45125">
      <w:pPr>
        <w:rPr>
          <w:rStyle w:val="SubtleReference"/>
          <w:smallCaps w:val="0"/>
          <w:color w:val="auto"/>
        </w:rPr>
      </w:pPr>
      <w:r w:rsidRPr="00F94FA9">
        <w:rPr>
          <w:rStyle w:val="SubtleReference"/>
          <w:smallCaps w:val="0"/>
          <w:color w:val="auto"/>
        </w:rPr>
        <w:t>Ribi</w:t>
      </w:r>
      <w:r w:rsidRPr="00F94FA9">
        <w:rPr>
          <w:rStyle w:val="SubtleReference"/>
          <w:rFonts w:cs="Arial"/>
          <w:smallCaps w:val="0"/>
          <w:color w:val="auto"/>
        </w:rPr>
        <w:t>è</w:t>
      </w:r>
      <w:r w:rsidRPr="00F94FA9">
        <w:rPr>
          <w:rStyle w:val="SubtleReference"/>
          <w:smallCaps w:val="0"/>
          <w:color w:val="auto"/>
        </w:rPr>
        <w:t>re C, Peyret P, Parisot N, Darcha C, D</w:t>
      </w:r>
      <w:r w:rsidRPr="00F94FA9">
        <w:rPr>
          <w:rStyle w:val="SubtleReference"/>
          <w:rFonts w:cs="Arial"/>
          <w:smallCaps w:val="0"/>
          <w:color w:val="auto"/>
        </w:rPr>
        <w:t>é</w:t>
      </w:r>
      <w:r w:rsidRPr="00F94FA9">
        <w:rPr>
          <w:rStyle w:val="SubtleReference"/>
          <w:smallCaps w:val="0"/>
          <w:color w:val="auto"/>
        </w:rPr>
        <w:t xml:space="preserve">chelotte PJ, Barnich N, Peyretaillade E, Boucher D. Oral exposure to the environmental pollutant benzo[a]pyrene impacts the intestinal epithelium and induces gut microbial shifts in murine models. Nature Scientific Reports </w:t>
      </w:r>
      <w:r w:rsidRPr="00F94FA9">
        <w:rPr>
          <w:rStyle w:val="SubtleReference"/>
          <w:b/>
          <w:smallCaps w:val="0"/>
          <w:color w:val="auto"/>
        </w:rPr>
        <w:t>6</w:t>
      </w:r>
      <w:r w:rsidRPr="00F94FA9">
        <w:rPr>
          <w:rStyle w:val="SubtleReference"/>
          <w:smallCaps w:val="0"/>
          <w:color w:val="auto"/>
        </w:rPr>
        <w:t>: 31027 doi: 10.1038/srep31027</w:t>
      </w:r>
      <w:r w:rsidR="00615213">
        <w:rPr>
          <w:rStyle w:val="SubtleReference"/>
          <w:smallCaps w:val="0"/>
          <w:color w:val="auto"/>
        </w:rPr>
        <w:t>.</w:t>
      </w:r>
    </w:p>
    <w:p w:rsidR="00F24B85" w:rsidRPr="00F94FA9" w:rsidRDefault="00F24B85" w:rsidP="00DC0CF2">
      <w:pPr>
        <w:rPr>
          <w:rStyle w:val="SubtleReference"/>
          <w:smallCaps w:val="0"/>
          <w:color w:val="auto"/>
        </w:rPr>
      </w:pPr>
      <w:r w:rsidRPr="00F94FA9">
        <w:rPr>
          <w:rStyle w:val="SubtleReference"/>
          <w:smallCaps w:val="0"/>
          <w:color w:val="auto"/>
        </w:rPr>
        <w:t xml:space="preserve">Roager HM, Licht TR. Microbial tryptophan catabolites in health and disease. Nature Communications 2018 </w:t>
      </w:r>
      <w:r w:rsidRPr="00F94FA9">
        <w:rPr>
          <w:rStyle w:val="SubtleReference"/>
          <w:b/>
          <w:smallCaps w:val="0"/>
          <w:color w:val="auto"/>
        </w:rPr>
        <w:t>9</w:t>
      </w:r>
      <w:r w:rsidRPr="00F94FA9">
        <w:rPr>
          <w:rStyle w:val="SubtleReference"/>
          <w:smallCaps w:val="0"/>
          <w:color w:val="auto"/>
        </w:rPr>
        <w:t>:3394 doi: 10.1038/s41467-018-05470-4</w:t>
      </w:r>
      <w:r w:rsidR="00615213">
        <w:rPr>
          <w:rStyle w:val="SubtleReference"/>
          <w:smallCaps w:val="0"/>
          <w:color w:val="auto"/>
        </w:rPr>
        <w:t>.</w:t>
      </w:r>
    </w:p>
    <w:p w:rsidR="00B45125" w:rsidRDefault="00543EF9" w:rsidP="009149E2">
      <w:pPr>
        <w:pStyle w:val="ListParagraph"/>
        <w:ind w:left="0"/>
      </w:pPr>
      <w:r w:rsidRPr="00F94FA9">
        <w:t xml:space="preserve">Roca-Saavedra P, </w:t>
      </w:r>
      <w:r w:rsidR="00B17728" w:rsidRPr="00F94FA9">
        <w:t xml:space="preserve">Mendez-Vilabrille V, Miranda JM, Nebot C, Cardelle-Cobas A, Franco CM, Cepeda A. Food additives, contaminants and other minor components: effects on human gut microbiota – a review. Journal of </w:t>
      </w:r>
      <w:r w:rsidR="00331B91" w:rsidRPr="00F94FA9">
        <w:t>Physiological</w:t>
      </w:r>
      <w:r w:rsidR="00B17728" w:rsidRPr="00F94FA9">
        <w:t xml:space="preserve"> Biochemistry 2018 </w:t>
      </w:r>
      <w:r w:rsidR="00B17728" w:rsidRPr="00F94FA9">
        <w:rPr>
          <w:b/>
        </w:rPr>
        <w:t>74</w:t>
      </w:r>
      <w:r w:rsidR="00B17728" w:rsidRPr="00F94FA9">
        <w:t xml:space="preserve">: 69 </w:t>
      </w:r>
      <w:r w:rsidR="00681A96">
        <w:t>–</w:t>
      </w:r>
      <w:r w:rsidR="00B17728" w:rsidRPr="00F94FA9">
        <w:t xml:space="preserve"> 83</w:t>
      </w:r>
      <w:r w:rsidR="00FA3B29">
        <w:t>.</w:t>
      </w:r>
    </w:p>
    <w:p w:rsidR="00FA3B29" w:rsidRDefault="00FA3B29" w:rsidP="009149E2">
      <w:pPr>
        <w:pStyle w:val="ListParagraph"/>
        <w:ind w:left="0"/>
      </w:pPr>
    </w:p>
    <w:p w:rsidR="00FA3B29" w:rsidRPr="004F1D39" w:rsidRDefault="00FA3B29" w:rsidP="009149E2">
      <w:pPr>
        <w:pStyle w:val="ListParagraph"/>
        <w:ind w:left="0"/>
      </w:pPr>
      <w:r>
        <w:t xml:space="preserve">Rodriguez JM, Murphy K, Stanton C, Ross RP, Kober OI, Juge N, Averahina E, </w:t>
      </w:r>
      <w:r w:rsidR="004F1D39">
        <w:t xml:space="preserve">Rudi K, narbad A, Jenmalm MC, Marchesi JR, Collado MC. The composition of the gut microbiota throughout life, with an emphasis on early life. Microbial Ecology in Health and Disease 2015 </w:t>
      </w:r>
      <w:r w:rsidR="004F1D39">
        <w:rPr>
          <w:b/>
          <w:bCs/>
        </w:rPr>
        <w:t>26</w:t>
      </w:r>
      <w:r w:rsidR="004F1D39">
        <w:t>: 26050 – 26066.</w:t>
      </w:r>
    </w:p>
    <w:p w:rsidR="00FA3B29" w:rsidRDefault="00FA3B29" w:rsidP="009149E2">
      <w:pPr>
        <w:pStyle w:val="ListParagraph"/>
        <w:ind w:left="0"/>
      </w:pPr>
    </w:p>
    <w:p w:rsidR="00681A96" w:rsidRPr="00F94FA9" w:rsidRDefault="00681A96" w:rsidP="002E5DB7">
      <w:r>
        <w:t>Rodriguez MM, P</w:t>
      </w:r>
      <w:r w:rsidRPr="002E5DB7">
        <w:rPr>
          <w:rFonts w:cs="Arial"/>
        </w:rPr>
        <w:t>é</w:t>
      </w:r>
      <w:r>
        <w:t>rez D, Chaves FJ, Esteve E, Marin-Garcia P, Xifra G, Vendrell J, Jov</w:t>
      </w:r>
      <w:r w:rsidRPr="002E5DB7">
        <w:rPr>
          <w:rFonts w:cs="Arial"/>
        </w:rPr>
        <w:t>é</w:t>
      </w:r>
      <w:r>
        <w:t xml:space="preserve"> M, Pamplona R, Ricart W, Portero-Otin M, Chac</w:t>
      </w:r>
      <w:r w:rsidRPr="002E5DB7">
        <w:rPr>
          <w:rFonts w:cs="Arial"/>
        </w:rPr>
        <w:t>ó</w:t>
      </w:r>
      <w:r>
        <w:t>n MR, R</w:t>
      </w:r>
      <w:r w:rsidR="006F3704">
        <w:t>eal</w:t>
      </w:r>
      <w:r>
        <w:t xml:space="preserve"> </w:t>
      </w:r>
      <w:r w:rsidR="006F3704">
        <w:t>JMF. Obesity changes the human gut mycobiome</w:t>
      </w:r>
      <w:r w:rsidR="00E41F75">
        <w:t>. Scie</w:t>
      </w:r>
      <w:r w:rsidR="002E5DB7">
        <w:t>ntific</w:t>
      </w:r>
      <w:r w:rsidR="00E41F75">
        <w:t xml:space="preserve"> Reports </w:t>
      </w:r>
      <w:r w:rsidR="002E5DB7">
        <w:t xml:space="preserve">2015 </w:t>
      </w:r>
      <w:r w:rsidR="00E41F75" w:rsidRPr="002E5DB7">
        <w:rPr>
          <w:b/>
          <w:bCs/>
        </w:rPr>
        <w:t>5</w:t>
      </w:r>
      <w:r w:rsidR="00E41F75">
        <w:t>:146</w:t>
      </w:r>
      <w:r w:rsidR="002E5DB7">
        <w:t>00 - 14613</w:t>
      </w:r>
      <w:r w:rsidR="00E41F75">
        <w:t xml:space="preserve"> </w:t>
      </w:r>
    </w:p>
    <w:p w:rsidR="00D8136A" w:rsidRPr="00F94FA9" w:rsidRDefault="00D8136A" w:rsidP="009149E2">
      <w:pPr>
        <w:pStyle w:val="ListParagraph"/>
        <w:ind w:left="0"/>
      </w:pPr>
    </w:p>
    <w:p w:rsidR="00D8136A" w:rsidRPr="00F94FA9" w:rsidRDefault="00D8136A" w:rsidP="00CE7094">
      <w:pPr>
        <w:pStyle w:val="ListParagraph"/>
        <w:spacing w:before="240"/>
        <w:ind w:left="0"/>
      </w:pPr>
      <w:r w:rsidRPr="00F94FA9">
        <w:t xml:space="preserve">Rodriguez-Palacios A, Harding A, MenghiniP, Himmelmann C, Retuerto M, Nickerson KP, Lam M, Criniger CM, McLean MH, Durum SK, Pizarro TT, Ghannoum MA, Ilic S, McDonald C, Cominelli F. The artificial sweetener Splenda promotes gut </w:t>
      </w:r>
      <w:r w:rsidRPr="00F94FA9">
        <w:rPr>
          <w:i/>
        </w:rPr>
        <w:t>Proteobacteria</w:t>
      </w:r>
      <w:r w:rsidRPr="00F94FA9">
        <w:t xml:space="preserve"> dysbiosis and myeloperoxidase reactivity in Crohn’s disease-like ileitis. Inflammatory Bowel Disease </w:t>
      </w:r>
      <w:r w:rsidRPr="00F94FA9">
        <w:rPr>
          <w:b/>
        </w:rPr>
        <w:t>24</w:t>
      </w:r>
      <w:r w:rsidRPr="00F94FA9">
        <w:t>(5): 1005 – 1019.</w:t>
      </w:r>
    </w:p>
    <w:p w:rsidR="00783295" w:rsidRPr="00F94FA9" w:rsidRDefault="00783295" w:rsidP="00CE7094">
      <w:pPr>
        <w:pStyle w:val="ListParagraph"/>
        <w:spacing w:before="240"/>
        <w:ind w:left="0"/>
      </w:pPr>
    </w:p>
    <w:p w:rsidR="00543EF9" w:rsidRPr="00F94FA9" w:rsidRDefault="0068549D" w:rsidP="00CE7094">
      <w:pPr>
        <w:pStyle w:val="ListParagraph"/>
        <w:spacing w:before="240"/>
        <w:ind w:left="0"/>
      </w:pPr>
      <w:r w:rsidRPr="00F94FA9">
        <w:t xml:space="preserve">Rowland I, Gibson G,   Heinken A, Scott K, Swann </w:t>
      </w:r>
      <w:r w:rsidR="00331B91" w:rsidRPr="00F94FA9">
        <w:t>J, Thiele</w:t>
      </w:r>
      <w:r w:rsidRPr="00F94FA9">
        <w:t xml:space="preserve"> I, Tuohy K. </w:t>
      </w:r>
      <w:r w:rsidR="00783295" w:rsidRPr="00F94FA9">
        <w:t xml:space="preserve">Gut microbiota functions: metabolism of nutrients and other food components </w:t>
      </w:r>
      <w:r w:rsidRPr="00F94FA9">
        <w:t>Eur</w:t>
      </w:r>
      <w:r w:rsidR="00331B91">
        <w:t>opean</w:t>
      </w:r>
      <w:r w:rsidRPr="00F94FA9">
        <w:t xml:space="preserve"> J</w:t>
      </w:r>
      <w:r w:rsidR="00331B91">
        <w:t>ournal of</w:t>
      </w:r>
      <w:r w:rsidRPr="00F94FA9">
        <w:t xml:space="preserve"> Nutr</w:t>
      </w:r>
      <w:r w:rsidR="00331B91">
        <w:t>ition</w:t>
      </w:r>
      <w:r w:rsidRPr="00F94FA9">
        <w:t xml:space="preserve"> 2018 </w:t>
      </w:r>
      <w:r w:rsidRPr="00F94FA9">
        <w:rPr>
          <w:b/>
        </w:rPr>
        <w:t>57</w:t>
      </w:r>
      <w:r w:rsidRPr="00F94FA9">
        <w:t>:1–24</w:t>
      </w:r>
      <w:r w:rsidR="00615213">
        <w:t>.</w:t>
      </w:r>
    </w:p>
    <w:p w:rsidR="00B45125" w:rsidRPr="00F94FA9" w:rsidRDefault="00B45125" w:rsidP="00DC0CF2">
      <w:pPr>
        <w:rPr>
          <w:rStyle w:val="SubtleReference"/>
          <w:smallCaps w:val="0"/>
          <w:color w:val="auto"/>
        </w:rPr>
      </w:pPr>
      <w:r w:rsidRPr="00F94FA9">
        <w:rPr>
          <w:rStyle w:val="SubtleReference"/>
          <w:smallCaps w:val="0"/>
          <w:color w:val="auto"/>
        </w:rPr>
        <w:t xml:space="preserve">Salim SY, Kaplan GG, Madsen KL. Air pollution effects on the gut microbiota. A link between exposure and inflammatory disease. Gut Microbes </w:t>
      </w:r>
      <w:r w:rsidRPr="00F94FA9">
        <w:rPr>
          <w:rStyle w:val="SubtleReference"/>
          <w:b/>
          <w:smallCaps w:val="0"/>
          <w:color w:val="auto"/>
        </w:rPr>
        <w:t>5</w:t>
      </w:r>
      <w:r w:rsidRPr="00F94FA9">
        <w:rPr>
          <w:rStyle w:val="SubtleReference"/>
          <w:smallCaps w:val="0"/>
          <w:color w:val="auto"/>
        </w:rPr>
        <w:t>(2): 215 – 219.</w:t>
      </w:r>
    </w:p>
    <w:p w:rsidR="00D8136A" w:rsidRPr="00F94FA9" w:rsidRDefault="00D8136A" w:rsidP="00DD19CC">
      <w:pPr>
        <w:pStyle w:val="ListParagraph"/>
        <w:spacing w:before="240"/>
        <w:ind w:left="0"/>
      </w:pPr>
      <w:r w:rsidRPr="00F94FA9">
        <w:t xml:space="preserve">Saad R, Rizkallah MR, Aziz RK. Gut pharmacomicrobiomics: the tip of an iceberg of complex interactions between drugs and gut-associated microbes. Gut Pathogens 2012 </w:t>
      </w:r>
      <w:r w:rsidRPr="00F94FA9">
        <w:rPr>
          <w:b/>
        </w:rPr>
        <w:t>4</w:t>
      </w:r>
      <w:r w:rsidRPr="00F94FA9">
        <w:t>:16 – 28.</w:t>
      </w:r>
    </w:p>
    <w:p w:rsidR="001D67CB" w:rsidRPr="00F94FA9" w:rsidRDefault="001D67CB" w:rsidP="00DD19CC">
      <w:pPr>
        <w:pStyle w:val="ListParagraph"/>
        <w:spacing w:before="240"/>
        <w:ind w:left="0"/>
      </w:pPr>
    </w:p>
    <w:p w:rsidR="001D67CB" w:rsidRPr="00F94FA9" w:rsidRDefault="001D67CB" w:rsidP="00DD19CC">
      <w:pPr>
        <w:pStyle w:val="ListParagraph"/>
        <w:spacing w:before="240"/>
        <w:ind w:left="0"/>
      </w:pPr>
      <w:r w:rsidRPr="00F94FA9">
        <w:t xml:space="preserve">Sahasrabudhe NM, Beukema M, Tian L, Troost B, Scholte J, Bruininx E, Bruggeman G, van den Berg M, Scheurink A, Schols HA, Faas MM, de Vos P. Dietary fiber pectin directly blocks toll-like receptor 2-1 and prevents doxorubicin-induced ileitis. Frontiers in Immunology 2018 </w:t>
      </w:r>
      <w:r w:rsidRPr="00F94FA9">
        <w:rPr>
          <w:b/>
        </w:rPr>
        <w:t>9</w:t>
      </w:r>
      <w:r w:rsidRPr="00F94FA9">
        <w:t>: 383  doi: 10.3389/fimmu.2018.00383</w:t>
      </w:r>
      <w:r w:rsidR="00615213">
        <w:t>.</w:t>
      </w:r>
    </w:p>
    <w:p w:rsidR="00D8136A" w:rsidRPr="00F94FA9" w:rsidRDefault="00D8136A" w:rsidP="00DD19CC">
      <w:pPr>
        <w:pStyle w:val="ListParagraph"/>
        <w:spacing w:before="240"/>
        <w:ind w:left="0"/>
      </w:pPr>
    </w:p>
    <w:p w:rsidR="00D8136A" w:rsidRDefault="00D8136A" w:rsidP="00DD19CC">
      <w:pPr>
        <w:pStyle w:val="ListParagraph"/>
        <w:spacing w:before="240"/>
        <w:ind w:left="0"/>
        <w:rPr>
          <w:szCs w:val="24"/>
        </w:rPr>
      </w:pPr>
      <w:r w:rsidRPr="00F94FA9">
        <w:rPr>
          <w:szCs w:val="24"/>
        </w:rPr>
        <w:t>Saint-Cyr MJ, Perrin-Guyomard A, Hou</w:t>
      </w:r>
      <w:r w:rsidRPr="00F94FA9">
        <w:rPr>
          <w:rFonts w:cs="Arial"/>
          <w:szCs w:val="24"/>
        </w:rPr>
        <w:t>é</w:t>
      </w:r>
      <w:r w:rsidRPr="00F94FA9">
        <w:rPr>
          <w:szCs w:val="24"/>
        </w:rPr>
        <w:t xml:space="preserve">e P, Rolland J-G, Laurentie M. Evaluation of an oral subchronic exposure of deoxynivalenol on the composition of human gut microbiota in a model of human microbiota-associated rats/ PLOS One 2013 </w:t>
      </w:r>
      <w:r w:rsidRPr="00F94FA9">
        <w:rPr>
          <w:b/>
          <w:szCs w:val="24"/>
        </w:rPr>
        <w:t>8</w:t>
      </w:r>
      <w:r w:rsidRPr="00F94FA9">
        <w:rPr>
          <w:szCs w:val="24"/>
        </w:rPr>
        <w:t>(11): e80578.</w:t>
      </w:r>
    </w:p>
    <w:p w:rsidR="00B76C55" w:rsidRDefault="00B76C55" w:rsidP="00DD19CC">
      <w:pPr>
        <w:pStyle w:val="ListParagraph"/>
        <w:spacing w:before="240"/>
        <w:ind w:left="0"/>
        <w:rPr>
          <w:szCs w:val="24"/>
        </w:rPr>
      </w:pPr>
    </w:p>
    <w:p w:rsidR="00B76C55" w:rsidRDefault="00B76C55" w:rsidP="00DD19CC">
      <w:pPr>
        <w:pStyle w:val="ListParagraph"/>
        <w:spacing w:before="240"/>
        <w:ind w:left="0"/>
        <w:rPr>
          <w:szCs w:val="24"/>
        </w:rPr>
      </w:pPr>
      <w:r>
        <w:rPr>
          <w:szCs w:val="24"/>
        </w:rPr>
        <w:t xml:space="preserve">Sam QH, Chang MW, Chai LYA. The fungal mycobiome and its interaction with gut bacteria in the host. International Journal of Molecular Sciences 2017 </w:t>
      </w:r>
      <w:r>
        <w:rPr>
          <w:b/>
          <w:bCs/>
          <w:szCs w:val="24"/>
        </w:rPr>
        <w:t>18</w:t>
      </w:r>
      <w:r>
        <w:rPr>
          <w:szCs w:val="24"/>
        </w:rPr>
        <w:t>: 330 – 340.</w:t>
      </w:r>
    </w:p>
    <w:p w:rsidR="00A53B42" w:rsidRDefault="00A53B42" w:rsidP="00DD19CC">
      <w:pPr>
        <w:pStyle w:val="ListParagraph"/>
        <w:spacing w:before="240"/>
        <w:ind w:left="0"/>
        <w:rPr>
          <w:szCs w:val="24"/>
        </w:rPr>
      </w:pPr>
    </w:p>
    <w:p w:rsidR="00A53B42" w:rsidRPr="00A53B42" w:rsidRDefault="00A53B42" w:rsidP="00DD19CC">
      <w:pPr>
        <w:pStyle w:val="ListParagraph"/>
        <w:spacing w:before="240"/>
        <w:ind w:left="0"/>
        <w:rPr>
          <w:szCs w:val="24"/>
        </w:rPr>
      </w:pPr>
      <w:r>
        <w:rPr>
          <w:szCs w:val="24"/>
        </w:rPr>
        <w:t xml:space="preserve">Santiago-Rodriguez TM, Hollister EB. Human virome and disease: High-throughput sequencing for virus discovery, identification of phage-bacteria dysbiosis and development of therapeutic approaches with emphasis on the human gut. Viruses 2019 </w:t>
      </w:r>
      <w:r>
        <w:rPr>
          <w:b/>
          <w:bCs/>
          <w:szCs w:val="24"/>
        </w:rPr>
        <w:t>11</w:t>
      </w:r>
      <w:r>
        <w:rPr>
          <w:szCs w:val="24"/>
        </w:rPr>
        <w:t xml:space="preserve">: 656 - </w:t>
      </w:r>
      <w:r w:rsidR="001427B7">
        <w:rPr>
          <w:szCs w:val="24"/>
        </w:rPr>
        <w:t>681</w:t>
      </w:r>
    </w:p>
    <w:p w:rsidR="00CD64D1" w:rsidRDefault="00CD64D1" w:rsidP="00DD19CC">
      <w:pPr>
        <w:pStyle w:val="ListParagraph"/>
        <w:spacing w:before="240"/>
        <w:ind w:left="0"/>
        <w:rPr>
          <w:szCs w:val="24"/>
        </w:rPr>
      </w:pPr>
    </w:p>
    <w:p w:rsidR="00CD64D1" w:rsidRPr="00CE578B" w:rsidRDefault="00CD64D1" w:rsidP="00DD19CC">
      <w:pPr>
        <w:pStyle w:val="ListParagraph"/>
        <w:spacing w:before="240"/>
        <w:ind w:left="0"/>
        <w:rPr>
          <w:szCs w:val="24"/>
        </w:rPr>
      </w:pPr>
      <w:r>
        <w:rPr>
          <w:szCs w:val="24"/>
        </w:rPr>
        <w:t xml:space="preserve">Scepanovich P, Hodel F, Mondot S, Partula V, Byrd A, Hammer C, Alanio C, Bergstedt J, patin E, Touvier M, Lantz O, Albert ML, Duffy D, </w:t>
      </w:r>
      <w:r w:rsidR="00CE578B">
        <w:rPr>
          <w:szCs w:val="24"/>
        </w:rPr>
        <w:t>Q</w:t>
      </w:r>
      <w:r>
        <w:rPr>
          <w:szCs w:val="24"/>
        </w:rPr>
        <w:t xml:space="preserve">uintana-Murci L, Fellay J, </w:t>
      </w:r>
      <w:r w:rsidR="00CE578B">
        <w:rPr>
          <w:szCs w:val="24"/>
        </w:rPr>
        <w:t>The Milieu Int</w:t>
      </w:r>
      <w:r w:rsidR="00CE578B">
        <w:rPr>
          <w:rFonts w:cs="Arial"/>
          <w:szCs w:val="24"/>
        </w:rPr>
        <w:t>é</w:t>
      </w:r>
      <w:r w:rsidR="00CE578B">
        <w:rPr>
          <w:szCs w:val="24"/>
        </w:rPr>
        <w:t xml:space="preserve">rieur Consortium. A comprehensive assessment of demographic, environmental and host  genetic associations with gut microbiome diversity in healthy individuals. Microbiome 2019 </w:t>
      </w:r>
      <w:r w:rsidR="00CE578B">
        <w:rPr>
          <w:b/>
          <w:bCs/>
          <w:szCs w:val="24"/>
        </w:rPr>
        <w:t>7</w:t>
      </w:r>
      <w:r w:rsidR="00CE578B">
        <w:rPr>
          <w:szCs w:val="24"/>
        </w:rPr>
        <w:t xml:space="preserve"> 130 – 144.</w:t>
      </w:r>
    </w:p>
    <w:p w:rsidR="00B45125" w:rsidRPr="00F94FA9" w:rsidRDefault="00B45125" w:rsidP="00DD19CC">
      <w:pPr>
        <w:pStyle w:val="ListParagraph"/>
        <w:spacing w:before="240"/>
        <w:ind w:left="0"/>
        <w:rPr>
          <w:szCs w:val="24"/>
        </w:rPr>
      </w:pPr>
    </w:p>
    <w:p w:rsidR="00B45125" w:rsidRPr="00F94FA9" w:rsidRDefault="00B45125" w:rsidP="00B45125">
      <w:pPr>
        <w:pStyle w:val="ListParagraph"/>
        <w:ind w:left="0"/>
      </w:pPr>
      <w:r w:rsidRPr="00F94FA9">
        <w:t xml:space="preserve">Scheppach W, Sommer H, </w:t>
      </w:r>
      <w:r w:rsidR="00331B91">
        <w:t>K</w:t>
      </w:r>
      <w:r w:rsidRPr="00F94FA9">
        <w:t xml:space="preserve">irchner T, Paganelli G-M, </w:t>
      </w:r>
      <w:r w:rsidR="00331B91">
        <w:t>B</w:t>
      </w:r>
      <w:r w:rsidRPr="00F94FA9">
        <w:t xml:space="preserve">artram P, Christl S, Richter F, Dusel C, Kasper H. Effect of butyrate enemas on the colonic mucosa in distal ulcerative colitis.  Gastroenterology 1992 </w:t>
      </w:r>
      <w:r w:rsidRPr="00F94FA9">
        <w:rPr>
          <w:b/>
        </w:rPr>
        <w:t>103</w:t>
      </w:r>
      <w:r w:rsidRPr="00F94FA9">
        <w:t>: 51 – 56.</w:t>
      </w:r>
    </w:p>
    <w:p w:rsidR="00D8136A" w:rsidRPr="00F94FA9" w:rsidRDefault="00D8136A" w:rsidP="00DD19CC">
      <w:pPr>
        <w:pStyle w:val="ListParagraph"/>
        <w:spacing w:before="240"/>
        <w:ind w:left="0"/>
        <w:rPr>
          <w:szCs w:val="24"/>
        </w:rPr>
      </w:pPr>
    </w:p>
    <w:p w:rsidR="00D8136A" w:rsidRDefault="00D8136A" w:rsidP="00540FEA">
      <w:pPr>
        <w:pStyle w:val="ListParagraph"/>
        <w:spacing w:before="240"/>
        <w:ind w:left="0"/>
        <w:rPr>
          <w:szCs w:val="24"/>
        </w:rPr>
      </w:pPr>
      <w:r w:rsidRPr="00F94FA9">
        <w:rPr>
          <w:szCs w:val="24"/>
        </w:rPr>
        <w:t>Schneeberger PHH, Coulibaly JT, Guenning M, Moser W, Coburn B, Frey JE, Keiser J. Off-target effects of tribendimidine ,tribendimidine plus ivermectin</w:t>
      </w:r>
      <w:r w:rsidRPr="00F94FA9">
        <w:rPr>
          <w:szCs w:val="24"/>
          <w:u w:val="single"/>
        </w:rPr>
        <w:t>.</w:t>
      </w:r>
      <w:r w:rsidRPr="00F94FA9">
        <w:rPr>
          <w:szCs w:val="24"/>
        </w:rPr>
        <w:t xml:space="preserve"> tribendimidine plus</w:t>
      </w:r>
      <w:r w:rsidRPr="00F94FA9">
        <w:rPr>
          <w:i/>
          <w:szCs w:val="24"/>
        </w:rPr>
        <w:t xml:space="preserve"> </w:t>
      </w:r>
      <w:r w:rsidRPr="00F94FA9">
        <w:rPr>
          <w:szCs w:val="24"/>
        </w:rPr>
        <w:t>oxantel pamoate and</w:t>
      </w:r>
      <w:r w:rsidRPr="00F94FA9">
        <w:rPr>
          <w:szCs w:val="24"/>
          <w:u w:val="single"/>
        </w:rPr>
        <w:t xml:space="preserve"> </w:t>
      </w:r>
      <w:r w:rsidRPr="00F94FA9">
        <w:rPr>
          <w:szCs w:val="24"/>
        </w:rPr>
        <w:t xml:space="preserve">albendazole plus oxantel pamoate on the human gut microbiota. LJP: Drugs and Drug Resistance 2018 </w:t>
      </w:r>
      <w:r w:rsidRPr="00F94FA9">
        <w:rPr>
          <w:b/>
          <w:szCs w:val="24"/>
        </w:rPr>
        <w:t>8</w:t>
      </w:r>
      <w:r w:rsidRPr="00F94FA9">
        <w:rPr>
          <w:szCs w:val="24"/>
        </w:rPr>
        <w:t>: 372 – 378</w:t>
      </w:r>
      <w:r w:rsidR="00F3088C" w:rsidRPr="00F94FA9">
        <w:rPr>
          <w:szCs w:val="24"/>
        </w:rPr>
        <w:t>.</w:t>
      </w:r>
    </w:p>
    <w:p w:rsidR="00F12C70" w:rsidRPr="003A7F46" w:rsidRDefault="00F12C70" w:rsidP="00FC165B">
      <w:pPr>
        <w:spacing w:after="0" w:line="240" w:lineRule="auto"/>
        <w:rPr>
          <w:rFonts w:eastAsia="Times New Roman" w:cs="Arial"/>
          <w:szCs w:val="24"/>
          <w:lang w:eastAsia="en-GB"/>
        </w:rPr>
      </w:pPr>
      <w:r w:rsidRPr="003A7F46">
        <w:rPr>
          <w:rFonts w:eastAsia="Times New Roman" w:cs="Arial"/>
          <w:szCs w:val="24"/>
          <w:lang w:eastAsia="en-GB"/>
        </w:rPr>
        <w:t xml:space="preserve">Shi N, Li N, Duan X, Niu H. </w:t>
      </w:r>
      <w:r w:rsidR="00FF4DD7" w:rsidRPr="003A7F46">
        <w:rPr>
          <w:rFonts w:eastAsia="Times New Roman" w:cs="Arial"/>
          <w:szCs w:val="24"/>
          <w:lang w:eastAsia="en-GB"/>
        </w:rPr>
        <w:t>I</w:t>
      </w:r>
      <w:r w:rsidR="00FF4DD7" w:rsidRPr="003A7F46">
        <w:rPr>
          <w:rFonts w:eastAsia="Times New Roman" w:cs="Arial"/>
          <w:szCs w:val="24"/>
          <w:shd w:val="clear" w:color="auto" w:fill="FFFFFF"/>
          <w:lang w:eastAsia="en-GB"/>
        </w:rPr>
        <w:t>nteraction between the gut microbiome and mucosal immune system.</w:t>
      </w:r>
      <w:r w:rsidR="00FF4DD7" w:rsidRPr="003A7F46">
        <w:rPr>
          <w:rFonts w:eastAsia="Times New Roman" w:cs="Arial"/>
          <w:szCs w:val="24"/>
          <w:lang w:eastAsia="en-GB"/>
        </w:rPr>
        <w:t xml:space="preserve"> </w:t>
      </w:r>
      <w:r w:rsidRPr="003A7F46">
        <w:rPr>
          <w:rFonts w:eastAsia="Times New Roman" w:cs="Arial"/>
          <w:szCs w:val="24"/>
          <w:lang w:eastAsia="en-GB"/>
        </w:rPr>
        <w:t xml:space="preserve">Military Medical Research. 2017 </w:t>
      </w:r>
      <w:r w:rsidRPr="003A7F46">
        <w:rPr>
          <w:rFonts w:eastAsia="Times New Roman" w:cs="Arial"/>
          <w:b/>
          <w:bCs/>
          <w:szCs w:val="24"/>
          <w:lang w:eastAsia="en-GB"/>
        </w:rPr>
        <w:t>4</w:t>
      </w:r>
      <w:r w:rsidRPr="003A7F46">
        <w:rPr>
          <w:rFonts w:eastAsia="Times New Roman" w:cs="Arial"/>
          <w:szCs w:val="24"/>
          <w:lang w:eastAsia="en-GB"/>
        </w:rPr>
        <w:t>.14 doi: 10.1186/s40779-017-0122-9. eCollection 2017.PMID: 28465831 </w:t>
      </w:r>
    </w:p>
    <w:p w:rsidR="00CD64D1" w:rsidRPr="00F94FA9" w:rsidRDefault="00CD64D1" w:rsidP="00CD64D1">
      <w:pPr>
        <w:spacing w:before="240"/>
        <w:rPr>
          <w:rStyle w:val="SubtleReference"/>
          <w:b/>
          <w:smallCaps w:val="0"/>
          <w:color w:val="auto"/>
        </w:rPr>
      </w:pPr>
      <w:r w:rsidRPr="00F94FA9">
        <w:rPr>
          <w:rStyle w:val="SubtleReference"/>
          <w:smallCaps w:val="0"/>
          <w:color w:val="auto"/>
        </w:rPr>
        <w:t>Schweirtz A, taras D, Sch</w:t>
      </w:r>
      <w:r w:rsidRPr="00F94FA9">
        <w:rPr>
          <w:rStyle w:val="SubtleReference"/>
          <w:rFonts w:cs="Arial"/>
          <w:smallCaps w:val="0"/>
          <w:color w:val="auto"/>
        </w:rPr>
        <w:t>ä</w:t>
      </w:r>
      <w:r w:rsidRPr="00F94FA9">
        <w:rPr>
          <w:rStyle w:val="SubtleReference"/>
          <w:smallCaps w:val="0"/>
          <w:color w:val="auto"/>
        </w:rPr>
        <w:t xml:space="preserve">fer K, Beijer S, Bos NA, Donus C, Hardt PD. Microbiota and SCFA in lean and overweight healthy subjects Obesity 2009. </w:t>
      </w:r>
      <w:r w:rsidRPr="00F94FA9">
        <w:rPr>
          <w:rStyle w:val="SubtleReference"/>
          <w:b/>
          <w:smallCaps w:val="0"/>
          <w:color w:val="auto"/>
        </w:rPr>
        <w:t xml:space="preserve">18: </w:t>
      </w:r>
      <w:r w:rsidRPr="00615213">
        <w:rPr>
          <w:rStyle w:val="SubtleReference"/>
          <w:bCs/>
          <w:smallCaps w:val="0"/>
          <w:color w:val="auto"/>
        </w:rPr>
        <w:t>1</w:t>
      </w:r>
      <w:r w:rsidR="00615213">
        <w:rPr>
          <w:rStyle w:val="SubtleReference"/>
          <w:bCs/>
          <w:smallCaps w:val="0"/>
          <w:color w:val="auto"/>
        </w:rPr>
        <w:t>8</w:t>
      </w:r>
      <w:r w:rsidRPr="00615213">
        <w:rPr>
          <w:rStyle w:val="SubtleReference"/>
          <w:bCs/>
          <w:smallCaps w:val="0"/>
          <w:color w:val="auto"/>
        </w:rPr>
        <w:t xml:space="preserve">5 </w:t>
      </w:r>
      <w:r w:rsidR="00615213">
        <w:rPr>
          <w:rStyle w:val="SubtleReference"/>
          <w:bCs/>
          <w:smallCaps w:val="0"/>
          <w:color w:val="auto"/>
        </w:rPr>
        <w:t>–</w:t>
      </w:r>
      <w:r w:rsidRPr="00615213">
        <w:rPr>
          <w:rStyle w:val="SubtleReference"/>
          <w:bCs/>
          <w:smallCaps w:val="0"/>
          <w:color w:val="auto"/>
        </w:rPr>
        <w:t xml:space="preserve"> 195</w:t>
      </w:r>
      <w:r w:rsidR="00615213">
        <w:rPr>
          <w:rStyle w:val="SubtleReference"/>
          <w:bCs/>
          <w:smallCaps w:val="0"/>
          <w:color w:val="auto"/>
        </w:rPr>
        <w:t>.</w:t>
      </w:r>
    </w:p>
    <w:p w:rsidR="00F3088C" w:rsidRDefault="00F3088C" w:rsidP="00F3088C">
      <w:pPr>
        <w:pStyle w:val="ListParagraph"/>
        <w:ind w:left="0"/>
      </w:pPr>
      <w:r w:rsidRPr="00F94FA9">
        <w:t>Sender R, Fuchs S, Milo R. Revised estimates for the number of human and bacteria cells in the body PLOS Biology 2016doi:10.1371/journal.pbio.1002533.</w:t>
      </w:r>
    </w:p>
    <w:p w:rsidR="003F0F56" w:rsidRDefault="003F0F56" w:rsidP="00F3088C">
      <w:pPr>
        <w:pStyle w:val="ListParagraph"/>
        <w:ind w:left="0"/>
      </w:pPr>
    </w:p>
    <w:p w:rsidR="003F0F56" w:rsidRPr="004B5816" w:rsidRDefault="003F0F56" w:rsidP="00F3088C">
      <w:pPr>
        <w:pStyle w:val="ListParagraph"/>
        <w:ind w:left="0"/>
      </w:pPr>
      <w:r>
        <w:t xml:space="preserve">Shanahan ER, Shah A, Koloski N, Walker MM, Talley NJ, Morrison M, Holtmann GJ. </w:t>
      </w:r>
      <w:r w:rsidR="004B5816">
        <w:t xml:space="preserve">Influence of cigarette smoking on the human duodenal mucosa-associated microbiota. Microbiome 2018 </w:t>
      </w:r>
      <w:r w:rsidR="004B5816">
        <w:rPr>
          <w:b/>
          <w:bCs/>
        </w:rPr>
        <w:t>6</w:t>
      </w:r>
      <w:r w:rsidR="004B5816">
        <w:t>: 150 – 161.</w:t>
      </w:r>
    </w:p>
    <w:p w:rsidR="00B45125" w:rsidRPr="00F94FA9" w:rsidRDefault="00B45125" w:rsidP="00F3088C">
      <w:pPr>
        <w:pStyle w:val="ListParagraph"/>
        <w:ind w:left="0"/>
      </w:pPr>
    </w:p>
    <w:p w:rsidR="00860F8C" w:rsidRPr="00F94FA9" w:rsidRDefault="00860F8C" w:rsidP="00F3088C">
      <w:pPr>
        <w:pStyle w:val="ListParagraph"/>
        <w:ind w:left="0"/>
      </w:pPr>
      <w:r w:rsidRPr="00F94FA9">
        <w:t xml:space="preserve">Shinohara K, Ohashi Y, Kawasumi K, terada A, Fujisawa T. Effect of apple intake on fecal </w:t>
      </w:r>
      <w:r w:rsidR="001D67CB" w:rsidRPr="00F94FA9">
        <w:t xml:space="preserve">microbiota and metabolites in humans. Anaerobe 2010 </w:t>
      </w:r>
      <w:r w:rsidR="001D67CB" w:rsidRPr="00F94FA9">
        <w:rPr>
          <w:b/>
        </w:rPr>
        <w:t>16</w:t>
      </w:r>
      <w:r w:rsidR="001D67CB" w:rsidRPr="00F94FA9">
        <w:t xml:space="preserve">(5): 510 </w:t>
      </w:r>
      <w:r w:rsidR="00615213">
        <w:t>–</w:t>
      </w:r>
      <w:r w:rsidR="001D67CB" w:rsidRPr="00F94FA9">
        <w:t xml:space="preserve"> 515</w:t>
      </w:r>
      <w:r w:rsidR="00615213">
        <w:t>.</w:t>
      </w:r>
    </w:p>
    <w:p w:rsidR="00B45125" w:rsidRPr="00F94FA9" w:rsidRDefault="00B45125" w:rsidP="00B45125">
      <w:pPr>
        <w:rPr>
          <w:rStyle w:val="SubtleReference"/>
          <w:smallCaps w:val="0"/>
          <w:color w:val="auto"/>
        </w:rPr>
      </w:pPr>
      <w:r w:rsidRPr="00F94FA9">
        <w:rPr>
          <w:rStyle w:val="SubtleReference"/>
          <w:smallCaps w:val="0"/>
          <w:color w:val="auto"/>
        </w:rPr>
        <w:t xml:space="preserve">Snedeker SM, Hay AG. Do interactions between gut ecology and environmental chemicals contribute to obesity and diabetes? Environmental Health Perspectives 2012 </w:t>
      </w:r>
      <w:r w:rsidRPr="00F94FA9">
        <w:rPr>
          <w:rStyle w:val="SubtleReference"/>
          <w:b/>
          <w:smallCaps w:val="0"/>
          <w:color w:val="auto"/>
        </w:rPr>
        <w:t>120</w:t>
      </w:r>
      <w:r w:rsidRPr="00F94FA9">
        <w:rPr>
          <w:rStyle w:val="SubtleReference"/>
          <w:smallCaps w:val="0"/>
          <w:color w:val="auto"/>
        </w:rPr>
        <w:t xml:space="preserve">(3): 332 </w:t>
      </w:r>
      <w:r w:rsidR="00615213">
        <w:rPr>
          <w:rStyle w:val="SubtleReference"/>
          <w:smallCaps w:val="0"/>
          <w:color w:val="auto"/>
        </w:rPr>
        <w:t>–</w:t>
      </w:r>
      <w:r w:rsidRPr="00F94FA9">
        <w:rPr>
          <w:rStyle w:val="SubtleReference"/>
          <w:smallCaps w:val="0"/>
          <w:color w:val="auto"/>
        </w:rPr>
        <w:t xml:space="preserve"> 339</w:t>
      </w:r>
      <w:r w:rsidR="00615213">
        <w:rPr>
          <w:rStyle w:val="SubtleReference"/>
          <w:smallCaps w:val="0"/>
          <w:color w:val="auto"/>
        </w:rPr>
        <w:t>.</w:t>
      </w:r>
    </w:p>
    <w:p w:rsidR="00D8136A" w:rsidRPr="00F94FA9" w:rsidRDefault="00D8136A" w:rsidP="005035D0">
      <w:pPr>
        <w:pStyle w:val="ListParagraph"/>
        <w:spacing w:before="240"/>
        <w:ind w:left="0"/>
      </w:pPr>
      <w:r w:rsidRPr="00F94FA9">
        <w:t xml:space="preserve">Song M, Li X, Zhang X, Shi H, Vos MB, Wei X, Wang Y, Gao H, Rouchka EC, Yin X, Zhou Z, Prough RA, Cave MC, McClain CJ. Dietary copper-fructose interactions alter gut microbial activity in male rats. American Journal of Physiology: Gastrointestinal and Liver Physiology 2017 </w:t>
      </w:r>
      <w:r w:rsidRPr="00F94FA9">
        <w:rPr>
          <w:b/>
        </w:rPr>
        <w:t>314</w:t>
      </w:r>
      <w:r w:rsidRPr="00F94FA9">
        <w:t>(1): G119 – G130.</w:t>
      </w:r>
    </w:p>
    <w:p w:rsidR="00D8136A" w:rsidRPr="00F94FA9" w:rsidRDefault="00D8136A" w:rsidP="00540FEA">
      <w:pPr>
        <w:spacing w:before="240"/>
        <w:rPr>
          <w:szCs w:val="24"/>
        </w:rPr>
      </w:pPr>
      <w:r w:rsidRPr="00F94FA9">
        <w:rPr>
          <w:szCs w:val="24"/>
        </w:rPr>
        <w:t xml:space="preserve">Staub JM, Brand L, Tran M, Kong Y, Rogers SG. Bacterial glyphosate resistance conferred by overexpression of an E. coli membrane efflux transporter. Journal of Industrial Microbiology and Biotechnology 2012 </w:t>
      </w:r>
      <w:r w:rsidRPr="00F94FA9">
        <w:rPr>
          <w:b/>
          <w:szCs w:val="24"/>
        </w:rPr>
        <w:t>38</w:t>
      </w:r>
      <w:r w:rsidRPr="00F94FA9">
        <w:rPr>
          <w:szCs w:val="24"/>
        </w:rPr>
        <w:t xml:space="preserve">(4):641 </w:t>
      </w:r>
      <w:r w:rsidR="00F3088C" w:rsidRPr="00F94FA9">
        <w:rPr>
          <w:szCs w:val="24"/>
        </w:rPr>
        <w:t>–</w:t>
      </w:r>
      <w:r w:rsidRPr="00F94FA9">
        <w:rPr>
          <w:szCs w:val="24"/>
        </w:rPr>
        <w:t xml:space="preserve"> 647</w:t>
      </w:r>
      <w:r w:rsidR="00F3088C" w:rsidRPr="00F94FA9">
        <w:rPr>
          <w:szCs w:val="24"/>
        </w:rPr>
        <w:t>.</w:t>
      </w:r>
    </w:p>
    <w:p w:rsidR="00F55126" w:rsidRDefault="00F55126">
      <w:pPr>
        <w:spacing w:before="240"/>
        <w:rPr>
          <w:rStyle w:val="SubtleReference"/>
          <w:smallCaps w:val="0"/>
          <w:color w:val="auto"/>
        </w:rPr>
      </w:pPr>
      <w:r w:rsidRPr="00F94FA9">
        <w:rPr>
          <w:rStyle w:val="SubtleReference"/>
          <w:smallCaps w:val="0"/>
          <w:color w:val="auto"/>
        </w:rPr>
        <w:t xml:space="preserve">Stedtfeld RD, Chai B, Crawford RB, Stedtfeld TM, Williams MR, Xiangwen S, Kuwahara T, Cole JR, Kaminski NE, Tiedje JM, Hashsham SA. Modulatory influence of segmented filamentous bacteria on transcriptomic response of gnotobiotic mice exposed to TCDD. Frontiers in Microbiology 2017 </w:t>
      </w:r>
      <w:r w:rsidRPr="00F94FA9">
        <w:rPr>
          <w:rStyle w:val="SubtleReference"/>
          <w:b/>
          <w:smallCaps w:val="0"/>
          <w:color w:val="auto"/>
        </w:rPr>
        <w:t>8</w:t>
      </w:r>
      <w:r w:rsidRPr="00F94FA9">
        <w:rPr>
          <w:rStyle w:val="SubtleReference"/>
          <w:smallCaps w:val="0"/>
          <w:color w:val="auto"/>
        </w:rPr>
        <w:t>: 1708 doi: 10.3389/fmicb.2017.01708.</w:t>
      </w:r>
    </w:p>
    <w:p w:rsidR="00A272A9" w:rsidRPr="00A272A9" w:rsidRDefault="00A272A9">
      <w:pPr>
        <w:spacing w:before="240"/>
        <w:rPr>
          <w:rStyle w:val="SubtleReference"/>
          <w:smallCaps w:val="0"/>
          <w:color w:val="auto"/>
        </w:rPr>
      </w:pPr>
      <w:r>
        <w:rPr>
          <w:rStyle w:val="SubtleReference"/>
          <w:smallCaps w:val="0"/>
          <w:color w:val="auto"/>
        </w:rPr>
        <w:t xml:space="preserve">Takiishi T, Fenero CIM, Camara NOS. Intestinal battier and gut microbiota: shaping our immume responses throughout life. Tissue Barriers 2017 </w:t>
      </w:r>
      <w:r>
        <w:rPr>
          <w:rStyle w:val="SubtleReference"/>
          <w:b/>
          <w:bCs/>
          <w:smallCaps w:val="0"/>
          <w:color w:val="auto"/>
        </w:rPr>
        <w:t>5</w:t>
      </w:r>
      <w:r>
        <w:rPr>
          <w:rStyle w:val="SubtleReference"/>
          <w:smallCaps w:val="0"/>
          <w:color w:val="auto"/>
        </w:rPr>
        <w:t>(4): e1373209.</w:t>
      </w:r>
    </w:p>
    <w:p w:rsidR="00450536" w:rsidRDefault="00450536">
      <w:pPr>
        <w:spacing w:before="240"/>
        <w:rPr>
          <w:rStyle w:val="SubtleReference"/>
          <w:smallCaps w:val="0"/>
          <w:color w:val="auto"/>
        </w:rPr>
      </w:pPr>
      <w:r>
        <w:rPr>
          <w:rStyle w:val="SubtleReference"/>
          <w:smallCaps w:val="0"/>
          <w:color w:val="auto"/>
        </w:rPr>
        <w:t xml:space="preserve">Tanca A, Abbondio M, Palomga A, Fraumene C, Manghina V, Cucca F, Fiorillo E, Uzzau S. Potential and active functions in the gut microbiota of a healthy hyuman cohort. Microbiome 2017 </w:t>
      </w:r>
      <w:r>
        <w:rPr>
          <w:rStyle w:val="SubtleReference"/>
          <w:b/>
          <w:bCs/>
          <w:smallCaps w:val="0"/>
          <w:color w:val="auto"/>
        </w:rPr>
        <w:t>5</w:t>
      </w:r>
      <w:r>
        <w:rPr>
          <w:rStyle w:val="SubtleReference"/>
          <w:smallCaps w:val="0"/>
          <w:color w:val="auto"/>
        </w:rPr>
        <w:t xml:space="preserve">: 79 – 93. </w:t>
      </w:r>
    </w:p>
    <w:p w:rsidR="004D40F3" w:rsidRPr="003A7F46" w:rsidRDefault="004D40F3" w:rsidP="004D40F3">
      <w:pPr>
        <w:shd w:val="clear" w:color="auto" w:fill="FFFFFF"/>
        <w:rPr>
          <w:rFonts w:cs="Arial"/>
          <w:szCs w:val="24"/>
        </w:rPr>
      </w:pPr>
      <w:r w:rsidRPr="003A7F46">
        <w:rPr>
          <w:rStyle w:val="authors-list-item"/>
          <w:rFonts w:cs="Arial"/>
          <w:szCs w:val="24"/>
        </w:rPr>
        <w:t>Tang BK</w:t>
      </w:r>
      <w:r w:rsidRPr="003A7F46">
        <w:rPr>
          <w:rStyle w:val="comma"/>
          <w:rFonts w:cs="Arial"/>
          <w:szCs w:val="24"/>
        </w:rPr>
        <w:t>, </w:t>
      </w:r>
      <w:r w:rsidRPr="003A7F46">
        <w:rPr>
          <w:rStyle w:val="authors-list-item"/>
          <w:rFonts w:cs="Arial"/>
          <w:szCs w:val="24"/>
        </w:rPr>
        <w:t xml:space="preserve">Kalow W </w:t>
      </w:r>
      <w:r w:rsidRPr="003A7F46">
        <w:rPr>
          <w:rFonts w:cs="Arial"/>
          <w:szCs w:val="24"/>
        </w:rPr>
        <w:t xml:space="preserve">Variable activation of lovastatin by hydrolytic enzymes in human plasma and liver. </w:t>
      </w:r>
      <w:r w:rsidRPr="003A7F46">
        <w:rPr>
          <w:rStyle w:val="period"/>
          <w:rFonts w:cs="Arial"/>
          <w:szCs w:val="24"/>
        </w:rPr>
        <w:t>.European Journal of Clinical Pharmacology</w:t>
      </w:r>
      <w:r w:rsidR="008663E5" w:rsidRPr="003A7F46">
        <w:rPr>
          <w:rStyle w:val="period"/>
          <w:rFonts w:cs="Arial"/>
          <w:szCs w:val="24"/>
        </w:rPr>
        <w:t xml:space="preserve"> </w:t>
      </w:r>
      <w:r w:rsidRPr="003A7F46">
        <w:rPr>
          <w:rStyle w:val="cit"/>
          <w:rFonts w:cs="Arial"/>
          <w:szCs w:val="24"/>
        </w:rPr>
        <w:t xml:space="preserve">1995 </w:t>
      </w:r>
      <w:r w:rsidRPr="003A7F46">
        <w:rPr>
          <w:rStyle w:val="cit"/>
          <w:rFonts w:cs="Arial"/>
          <w:b/>
          <w:bCs/>
          <w:szCs w:val="24"/>
        </w:rPr>
        <w:t>47</w:t>
      </w:r>
      <w:r w:rsidRPr="003A7F46">
        <w:rPr>
          <w:rStyle w:val="cit"/>
          <w:rFonts w:cs="Arial"/>
          <w:szCs w:val="24"/>
        </w:rPr>
        <w:t>(5):449-51.</w:t>
      </w:r>
      <w:r w:rsidRPr="003A7F46">
        <w:rPr>
          <w:rStyle w:val="citation-doi"/>
          <w:rFonts w:cs="Arial"/>
          <w:szCs w:val="24"/>
        </w:rPr>
        <w:t xml:space="preserve"> doi: 10.1007/BF00196860.</w:t>
      </w:r>
    </w:p>
    <w:p w:rsidR="00D8136A" w:rsidRDefault="00D8136A" w:rsidP="00D910FC">
      <w:pPr>
        <w:pStyle w:val="ListParagraph"/>
        <w:spacing w:before="240"/>
        <w:ind w:left="0"/>
      </w:pPr>
      <w:r w:rsidRPr="00F94FA9">
        <w:t xml:space="preserve">Theilmann MC, Goh YJ, Nielsen KF, Klaenhammer, TR, Barrangou R, Hachem MA. </w:t>
      </w:r>
      <w:r w:rsidRPr="00F94FA9">
        <w:rPr>
          <w:i/>
        </w:rPr>
        <w:t>Lactobacillus acidophilus</w:t>
      </w:r>
      <w:r w:rsidRPr="00F94FA9">
        <w:t xml:space="preserve"> metabolizes dietary plant glucosides and externalises their bioactive phytochemicals. mBio 2017 </w:t>
      </w:r>
      <w:r w:rsidRPr="00F94FA9">
        <w:rPr>
          <w:b/>
        </w:rPr>
        <w:t>8</w:t>
      </w:r>
      <w:r w:rsidRPr="00F94FA9">
        <w:t>(6): e01421-17</w:t>
      </w:r>
      <w:r w:rsidR="00F3088C" w:rsidRPr="00F94FA9">
        <w:t>.</w:t>
      </w:r>
    </w:p>
    <w:p w:rsidR="007644B6" w:rsidRDefault="007644B6" w:rsidP="00D910FC">
      <w:pPr>
        <w:pStyle w:val="ListParagraph"/>
        <w:spacing w:before="240"/>
        <w:ind w:left="0"/>
      </w:pPr>
    </w:p>
    <w:p w:rsidR="007644B6" w:rsidRPr="00FF53BF" w:rsidRDefault="007644B6" w:rsidP="00D910FC">
      <w:pPr>
        <w:pStyle w:val="ListParagraph"/>
        <w:spacing w:before="240"/>
        <w:ind w:left="0"/>
      </w:pPr>
      <w:r>
        <w:t xml:space="preserve">Theriot CM. </w:t>
      </w:r>
      <w:r w:rsidR="00FF53BF">
        <w:t xml:space="preserve">Beyond structure: defining the function of the gut using omic approaches for rational design of personalized therapeutics. mSystems </w:t>
      </w:r>
      <w:r w:rsidR="00FF53BF">
        <w:rPr>
          <w:b/>
          <w:bCs/>
        </w:rPr>
        <w:t>3</w:t>
      </w:r>
      <w:r w:rsidR="00FF53BF">
        <w:t>(2)e00173-17</w:t>
      </w:r>
      <w:r w:rsidR="00615213">
        <w:t>.</w:t>
      </w:r>
    </w:p>
    <w:p w:rsidR="00D8136A" w:rsidRPr="00F94FA9" w:rsidRDefault="00D8136A" w:rsidP="00D910FC">
      <w:pPr>
        <w:pStyle w:val="ListParagraph"/>
        <w:spacing w:before="240"/>
        <w:ind w:left="0"/>
      </w:pPr>
    </w:p>
    <w:p w:rsidR="00D8136A" w:rsidRPr="00F94FA9" w:rsidRDefault="00D8136A" w:rsidP="00540FEA">
      <w:pPr>
        <w:pStyle w:val="ListParagraph"/>
        <w:spacing w:before="240"/>
        <w:ind w:left="0"/>
        <w:rPr>
          <w:szCs w:val="24"/>
        </w:rPr>
      </w:pPr>
      <w:r w:rsidRPr="00F94FA9">
        <w:rPr>
          <w:szCs w:val="24"/>
        </w:rPr>
        <w:t xml:space="preserve">Tu P, Gao B, Chi L, Lai Y, Bian X, Ru H, Lu K. Sub-chronic low-dose 2,4-D exposure changed plasma acylcarnitine levels and induced gut microbiome perturbations in mice. Nature Scientific Reports 2019 </w:t>
      </w:r>
      <w:r w:rsidRPr="00F94FA9">
        <w:rPr>
          <w:b/>
          <w:szCs w:val="24"/>
        </w:rPr>
        <w:t>9</w:t>
      </w:r>
      <w:r w:rsidRPr="00F94FA9">
        <w:rPr>
          <w:szCs w:val="24"/>
        </w:rPr>
        <w:t xml:space="preserve">: 4363 – 4373. </w:t>
      </w:r>
    </w:p>
    <w:p w:rsidR="00D8136A" w:rsidRPr="00F94FA9" w:rsidRDefault="00D8136A" w:rsidP="00540FEA">
      <w:pPr>
        <w:pStyle w:val="ListParagraph"/>
        <w:spacing w:before="240"/>
        <w:ind w:left="0"/>
        <w:rPr>
          <w:szCs w:val="24"/>
        </w:rPr>
      </w:pPr>
    </w:p>
    <w:p w:rsidR="00D8136A" w:rsidRDefault="00D8136A" w:rsidP="00CE7094">
      <w:pPr>
        <w:pStyle w:val="ListParagraph"/>
        <w:spacing w:before="240"/>
        <w:ind w:left="0"/>
        <w:rPr>
          <w:szCs w:val="24"/>
        </w:rPr>
      </w:pPr>
      <w:r w:rsidRPr="00F94FA9">
        <w:rPr>
          <w:szCs w:val="24"/>
        </w:rPr>
        <w:t>Uebanso T, Kano S, Yoshimoto A, Naito C, Shimohata T, Mawatari K, Takahashi A. Effects of consuming xylitol on gut microbiota and lipid metabolism in mice. Nutrients 2017</w:t>
      </w:r>
      <w:r w:rsidR="004F62A8">
        <w:rPr>
          <w:szCs w:val="24"/>
        </w:rPr>
        <w:t xml:space="preserve"> </w:t>
      </w:r>
      <w:r w:rsidRPr="00F94FA9">
        <w:rPr>
          <w:b/>
          <w:szCs w:val="24"/>
        </w:rPr>
        <w:t>9</w:t>
      </w:r>
      <w:r w:rsidRPr="00F94FA9">
        <w:rPr>
          <w:szCs w:val="24"/>
        </w:rPr>
        <w:t>: 756 – 767.</w:t>
      </w:r>
    </w:p>
    <w:p w:rsidR="00F046A8" w:rsidRDefault="00F046A8" w:rsidP="00CE7094">
      <w:pPr>
        <w:pStyle w:val="ListParagraph"/>
        <w:spacing w:before="240"/>
        <w:ind w:left="0"/>
        <w:rPr>
          <w:szCs w:val="24"/>
        </w:rPr>
      </w:pPr>
    </w:p>
    <w:p w:rsidR="0067068D" w:rsidRDefault="0067068D" w:rsidP="00CE7094">
      <w:pPr>
        <w:pStyle w:val="ListParagraph"/>
        <w:spacing w:before="240"/>
        <w:ind w:left="0"/>
        <w:rPr>
          <w:szCs w:val="24"/>
        </w:rPr>
      </w:pPr>
      <w:r>
        <w:rPr>
          <w:szCs w:val="24"/>
        </w:rPr>
        <w:t xml:space="preserve">Undark (2019) </w:t>
      </w:r>
      <w:hyperlink r:id="rId24" w:history="1">
        <w:r w:rsidR="000864F0" w:rsidRPr="004A7848">
          <w:rPr>
            <w:rStyle w:val="Hyperlink"/>
            <w:szCs w:val="24"/>
          </w:rPr>
          <w:t>https://undark.org/2019/10/21/microbiome-scientists-debate-dysbiosis/</w:t>
        </w:r>
      </w:hyperlink>
    </w:p>
    <w:p w:rsidR="0067068D" w:rsidRDefault="0067068D" w:rsidP="00CE7094">
      <w:pPr>
        <w:pStyle w:val="ListParagraph"/>
        <w:spacing w:before="240"/>
        <w:ind w:left="0"/>
        <w:rPr>
          <w:szCs w:val="24"/>
        </w:rPr>
      </w:pPr>
    </w:p>
    <w:p w:rsidR="00F046A8" w:rsidRPr="00F046A8" w:rsidRDefault="00F046A8" w:rsidP="00CE7094">
      <w:pPr>
        <w:pStyle w:val="ListParagraph"/>
        <w:spacing w:before="240"/>
        <w:ind w:left="0"/>
        <w:rPr>
          <w:szCs w:val="24"/>
        </w:rPr>
      </w:pPr>
      <w:r>
        <w:rPr>
          <w:szCs w:val="24"/>
        </w:rPr>
        <w:t xml:space="preserve">Unno T, Choi J-H, Hur H-G, Sadowsky MJ, Ahn Y-T, Huh C-S, Kim G-B, Cha C-J. Changes in human gut microbiota influenced by probiotic fermented milk ingestion. Journal of dairy Science 2015 </w:t>
      </w:r>
      <w:r>
        <w:rPr>
          <w:b/>
          <w:szCs w:val="24"/>
        </w:rPr>
        <w:t>98</w:t>
      </w:r>
      <w:r>
        <w:rPr>
          <w:szCs w:val="24"/>
        </w:rPr>
        <w:t xml:space="preserve">: 3568 </w:t>
      </w:r>
      <w:r w:rsidR="00615213">
        <w:rPr>
          <w:szCs w:val="24"/>
        </w:rPr>
        <w:t>–</w:t>
      </w:r>
      <w:r>
        <w:rPr>
          <w:szCs w:val="24"/>
        </w:rPr>
        <w:t xml:space="preserve"> 3576</w:t>
      </w:r>
      <w:r w:rsidR="00615213">
        <w:rPr>
          <w:szCs w:val="24"/>
        </w:rPr>
        <w:t>.</w:t>
      </w:r>
    </w:p>
    <w:p w:rsidR="00D8136A" w:rsidRPr="00F94FA9" w:rsidRDefault="00D8136A" w:rsidP="00CE7094">
      <w:pPr>
        <w:pStyle w:val="ListParagraph"/>
        <w:spacing w:before="240"/>
        <w:ind w:left="0"/>
        <w:rPr>
          <w:szCs w:val="24"/>
        </w:rPr>
      </w:pPr>
    </w:p>
    <w:p w:rsidR="00D8136A" w:rsidRPr="00F94FA9" w:rsidRDefault="00D8136A" w:rsidP="009149E2">
      <w:pPr>
        <w:pStyle w:val="ListParagraph"/>
        <w:spacing w:before="240"/>
        <w:ind w:left="0" w:hanging="11"/>
      </w:pPr>
      <w:r w:rsidRPr="00F94FA9">
        <w:t xml:space="preserve">Van den Brule S, Ambroise J, Lecloux H, Levard C, Soulas R, Temmerman P-J, Palmai-Pallig M, Marbaix E, Lison D. Dietary silver nanoparticles can disturb the gut microbiota in mice. Particle and Fibre Toxicology 2016 </w:t>
      </w:r>
      <w:r w:rsidRPr="00F94FA9">
        <w:rPr>
          <w:b/>
        </w:rPr>
        <w:t>13</w:t>
      </w:r>
      <w:r w:rsidRPr="00F94FA9">
        <w:t>: 38 – 53</w:t>
      </w:r>
      <w:r w:rsidR="00F3088C" w:rsidRPr="00F94FA9">
        <w:t>.</w:t>
      </w:r>
    </w:p>
    <w:p w:rsidR="00615213" w:rsidRDefault="004A2BDA" w:rsidP="00D910FC">
      <w:pPr>
        <w:spacing w:before="240"/>
        <w:rPr>
          <w:szCs w:val="24"/>
        </w:rPr>
      </w:pPr>
      <w:r w:rsidRPr="00F94FA9">
        <w:rPr>
          <w:szCs w:val="24"/>
        </w:rPr>
        <w:t xml:space="preserve">Velmurugan G, Ramprasath T, Swaminathan K, Mithieux G, </w:t>
      </w:r>
      <w:r w:rsidR="00DF454C" w:rsidRPr="00F94FA9">
        <w:rPr>
          <w:szCs w:val="24"/>
        </w:rPr>
        <w:t>Rajendhran J, Dhivakar M, Parthasarathy A, Babu DDV, Thumburaj LJ, Freddy AJ</w:t>
      </w:r>
      <w:r w:rsidR="00C9159C" w:rsidRPr="00F94FA9">
        <w:rPr>
          <w:szCs w:val="24"/>
        </w:rPr>
        <w:t xml:space="preserve">, </w:t>
      </w:r>
      <w:r w:rsidR="00DF454C" w:rsidRPr="00F94FA9">
        <w:rPr>
          <w:szCs w:val="24"/>
        </w:rPr>
        <w:t xml:space="preserve">Dinakaran V, </w:t>
      </w:r>
      <w:r w:rsidR="00C9159C" w:rsidRPr="00F94FA9">
        <w:rPr>
          <w:szCs w:val="24"/>
        </w:rPr>
        <w:t xml:space="preserve">Puhari SSM, Rekha B, Christy YJ, Anusha S, Divya G, Suganya K, Meganathan B, Kalyanaraman N, Vasudevan V, Kamaraj R, Karthik M, Jeyakumar B, Abhishek A, Paul E, Pushpanathan M, Rajmohan RK, Velayuthan K, Lyon AR, Ramasamy S. Gut microbial degradation of organophosphate insecticides-induces glucose intolerance </w:t>
      </w:r>
      <w:r w:rsidR="00C9159C" w:rsidRPr="00F94FA9">
        <w:rPr>
          <w:i/>
          <w:szCs w:val="24"/>
        </w:rPr>
        <w:t>via</w:t>
      </w:r>
      <w:r w:rsidR="00C9159C" w:rsidRPr="00F94FA9">
        <w:rPr>
          <w:szCs w:val="24"/>
        </w:rPr>
        <w:t xml:space="preserve"> gluconeogenesis. Genome Biology 2017 </w:t>
      </w:r>
      <w:r w:rsidR="00C9159C" w:rsidRPr="00F94FA9">
        <w:rPr>
          <w:b/>
          <w:szCs w:val="24"/>
        </w:rPr>
        <w:t>18</w:t>
      </w:r>
      <w:r w:rsidR="00C9159C" w:rsidRPr="00F94FA9">
        <w:rPr>
          <w:szCs w:val="24"/>
        </w:rPr>
        <w:t>: 8 – 25 doi: 10.1186/s13059-016-1134-6.</w:t>
      </w:r>
    </w:p>
    <w:p w:rsidR="00D8136A" w:rsidRPr="00F94FA9" w:rsidRDefault="00D8136A" w:rsidP="00D910FC">
      <w:pPr>
        <w:spacing w:before="240"/>
        <w:rPr>
          <w:szCs w:val="24"/>
        </w:rPr>
      </w:pPr>
      <w:r w:rsidRPr="00F94FA9">
        <w:rPr>
          <w:szCs w:val="24"/>
        </w:rPr>
        <w:t xml:space="preserve">Velmurugan G. Gut microbiota in toxicological risk assessment of drugs and chemicals: the need of hour. Gut Microbes 2018 </w:t>
      </w:r>
      <w:r w:rsidRPr="00F94FA9">
        <w:rPr>
          <w:b/>
          <w:szCs w:val="24"/>
        </w:rPr>
        <w:t>9</w:t>
      </w:r>
      <w:r w:rsidRPr="00F94FA9">
        <w:rPr>
          <w:szCs w:val="24"/>
        </w:rPr>
        <w:t>(5): 465 – 468.</w:t>
      </w:r>
    </w:p>
    <w:p w:rsidR="004A2BDA" w:rsidRDefault="004A2BDA" w:rsidP="004A2BDA">
      <w:pPr>
        <w:pStyle w:val="ListParagraph"/>
        <w:spacing w:before="240"/>
        <w:ind w:left="0" w:hanging="11"/>
      </w:pPr>
      <w:r w:rsidRPr="00F94FA9">
        <w:t>Viennois E, Merlin D, Gewirt</w:t>
      </w:r>
      <w:r w:rsidR="00EA24ED">
        <w:t>z</w:t>
      </w:r>
      <w:r w:rsidRPr="00F94FA9">
        <w:t xml:space="preserve"> AT, Chassaling B. Dietary emulsifier-induced low-grade inflammation promotes colon carcinogenesis. </w:t>
      </w:r>
      <w:r w:rsidR="00331B91" w:rsidRPr="00F94FA9">
        <w:t>Cancer</w:t>
      </w:r>
      <w:r w:rsidRPr="00F94FA9">
        <w:t xml:space="preserve"> Research  2017 </w:t>
      </w:r>
      <w:r w:rsidRPr="00F94FA9">
        <w:rPr>
          <w:b/>
        </w:rPr>
        <w:t>77</w:t>
      </w:r>
      <w:r w:rsidRPr="00F94FA9">
        <w:t>(1): 27 – 40.</w:t>
      </w:r>
    </w:p>
    <w:p w:rsidR="00A272A9" w:rsidRDefault="00A272A9" w:rsidP="004A2BDA">
      <w:pPr>
        <w:pStyle w:val="ListParagraph"/>
        <w:spacing w:before="240"/>
        <w:ind w:left="0" w:hanging="11"/>
      </w:pPr>
    </w:p>
    <w:p w:rsidR="00A272A9" w:rsidRPr="00997D3E" w:rsidRDefault="00A272A9" w:rsidP="004A2BDA">
      <w:pPr>
        <w:pStyle w:val="ListParagraph"/>
        <w:spacing w:before="240"/>
        <w:ind w:left="0" w:hanging="11"/>
      </w:pPr>
      <w:r>
        <w:t>Walker WA. Intestinal colonization and programming of the intestinal immune response. Journal of Clinical Gastroenterology</w:t>
      </w:r>
      <w:r w:rsidR="00997D3E">
        <w:t xml:space="preserve"> 2014 </w:t>
      </w:r>
      <w:r w:rsidR="00997D3E">
        <w:rPr>
          <w:b/>
          <w:bCs/>
        </w:rPr>
        <w:t xml:space="preserve">48 </w:t>
      </w:r>
      <w:r w:rsidR="00997D3E">
        <w:t>S1 -S11 doi:10.1097/MCG.0000000000000230.</w:t>
      </w:r>
    </w:p>
    <w:p w:rsidR="00F55126" w:rsidRPr="00F94FA9" w:rsidRDefault="00F55126" w:rsidP="00DC0CF2">
      <w:pPr>
        <w:spacing w:before="240"/>
        <w:rPr>
          <w:rStyle w:val="SubtleReference"/>
          <w:rFonts w:cs="Arial"/>
          <w:smallCaps w:val="0"/>
          <w:color w:val="auto"/>
        </w:rPr>
      </w:pPr>
      <w:r w:rsidRPr="00F94FA9">
        <w:rPr>
          <w:rStyle w:val="SubtleReference"/>
          <w:rFonts w:cs="Arial"/>
          <w:smallCaps w:val="0"/>
          <w:color w:val="auto"/>
        </w:rPr>
        <w:t xml:space="preserve">Wang C, Yue S, Hao Z, Ren </w:t>
      </w:r>
      <w:r w:rsidR="00331B91">
        <w:rPr>
          <w:rStyle w:val="SubtleReference"/>
          <w:rFonts w:cs="Arial"/>
          <w:smallCaps w:val="0"/>
          <w:color w:val="auto"/>
        </w:rPr>
        <w:t>G</w:t>
      </w:r>
      <w:r w:rsidRPr="00F94FA9">
        <w:rPr>
          <w:rStyle w:val="SubtleReference"/>
          <w:rFonts w:cs="Arial"/>
          <w:smallCaps w:val="0"/>
          <w:color w:val="auto"/>
        </w:rPr>
        <w:t>l</w:t>
      </w:r>
      <w:r w:rsidR="00331B91">
        <w:rPr>
          <w:rStyle w:val="SubtleReference"/>
          <w:rFonts w:cs="Arial"/>
          <w:smallCaps w:val="0"/>
          <w:color w:val="auto"/>
        </w:rPr>
        <w:t>,</w:t>
      </w:r>
      <w:r w:rsidRPr="00F94FA9">
        <w:rPr>
          <w:rStyle w:val="SubtleReference"/>
          <w:rFonts w:cs="Arial"/>
          <w:smallCaps w:val="0"/>
          <w:color w:val="auto"/>
        </w:rPr>
        <w:t xml:space="preserve"> Lu D, Zhang Q, Zhao M. Pubertal exposure to the endocrine disruptor mono-2-ethylhexyl ester at body burden level caused cholesterol imbalance in mice. Environmental Pollution 2019 </w:t>
      </w:r>
      <w:r w:rsidRPr="00F94FA9">
        <w:rPr>
          <w:rStyle w:val="SubtleReference"/>
          <w:rFonts w:cs="Arial"/>
          <w:b/>
          <w:smallCaps w:val="0"/>
          <w:color w:val="auto"/>
        </w:rPr>
        <w:t>244</w:t>
      </w:r>
      <w:r w:rsidRPr="00F94FA9">
        <w:rPr>
          <w:rStyle w:val="SubtleReference"/>
          <w:rFonts w:cs="Arial"/>
          <w:smallCaps w:val="0"/>
          <w:color w:val="auto"/>
        </w:rPr>
        <w:t>: 657 – 666.</w:t>
      </w:r>
    </w:p>
    <w:p w:rsidR="00F55126" w:rsidRPr="00F94FA9" w:rsidRDefault="002C3F0B" w:rsidP="00D910FC">
      <w:pPr>
        <w:spacing w:before="240"/>
        <w:rPr>
          <w:szCs w:val="24"/>
        </w:rPr>
      </w:pPr>
      <w:r w:rsidRPr="00F94FA9">
        <w:rPr>
          <w:szCs w:val="24"/>
        </w:rPr>
        <w:t xml:space="preserve">Wang D, Yan S, Yan J, Teng M, Meng Z, Li R, Zhou Z, Zhu W. Effects of triphenyl phosphate exposure during fetal development on obesity and metabolic dysfunctions in adult mice: impaired lipid metabolism and intestinal dysbiosis. Environmental Pollution 2019 </w:t>
      </w:r>
      <w:r w:rsidRPr="00F94FA9">
        <w:rPr>
          <w:b/>
          <w:szCs w:val="24"/>
        </w:rPr>
        <w:t>246</w:t>
      </w:r>
      <w:r w:rsidRPr="00F94FA9">
        <w:rPr>
          <w:szCs w:val="24"/>
        </w:rPr>
        <w:t xml:space="preserve"> 630 </w:t>
      </w:r>
      <w:r w:rsidR="00E41F75">
        <w:rPr>
          <w:szCs w:val="24"/>
        </w:rPr>
        <w:t>–</w:t>
      </w:r>
      <w:r w:rsidRPr="00F94FA9">
        <w:rPr>
          <w:szCs w:val="24"/>
        </w:rPr>
        <w:t xml:space="preserve"> 638</w:t>
      </w:r>
      <w:r w:rsidR="00E41F75">
        <w:rPr>
          <w:szCs w:val="24"/>
        </w:rPr>
        <w:t>.</w:t>
      </w:r>
    </w:p>
    <w:p w:rsidR="00D8136A" w:rsidRPr="00F94FA9" w:rsidRDefault="00D8136A" w:rsidP="00DD19CC">
      <w:pPr>
        <w:pStyle w:val="ListParagraph"/>
        <w:spacing w:before="240"/>
        <w:ind w:left="0"/>
        <w:rPr>
          <w:szCs w:val="24"/>
        </w:rPr>
      </w:pPr>
      <w:r w:rsidRPr="00F94FA9">
        <w:rPr>
          <w:szCs w:val="24"/>
        </w:rPr>
        <w:t>Wang J, Tang L, Glenn TC, Wang J-S. Aflatoxin B</w:t>
      </w:r>
      <w:r w:rsidRPr="00F94FA9">
        <w:rPr>
          <w:szCs w:val="24"/>
          <w:vertAlign w:val="subscript"/>
        </w:rPr>
        <w:t>1</w:t>
      </w:r>
      <w:r w:rsidRPr="00F94FA9">
        <w:rPr>
          <w:szCs w:val="24"/>
        </w:rPr>
        <w:t xml:space="preserve"> induced compositional changes in gut microbial communities of male F344 rats. Toxicological Sciences 2016 </w:t>
      </w:r>
      <w:r w:rsidRPr="00F94FA9">
        <w:rPr>
          <w:b/>
          <w:szCs w:val="24"/>
        </w:rPr>
        <w:t>150</w:t>
      </w:r>
      <w:r w:rsidRPr="00F94FA9">
        <w:rPr>
          <w:szCs w:val="24"/>
        </w:rPr>
        <w:t>(1): 54 – 63.</w:t>
      </w:r>
    </w:p>
    <w:p w:rsidR="003F10C4" w:rsidRPr="00F94FA9" w:rsidRDefault="003F10C4" w:rsidP="00DD19CC">
      <w:pPr>
        <w:pStyle w:val="ListParagraph"/>
        <w:spacing w:before="240"/>
        <w:ind w:left="0"/>
        <w:rPr>
          <w:szCs w:val="24"/>
        </w:rPr>
      </w:pPr>
    </w:p>
    <w:p w:rsidR="003F10C4" w:rsidRPr="00F94FA9" w:rsidRDefault="003F10C4" w:rsidP="00DD19CC">
      <w:pPr>
        <w:pStyle w:val="ListParagraph"/>
        <w:spacing w:before="240"/>
        <w:ind w:left="0"/>
        <w:rPr>
          <w:szCs w:val="24"/>
        </w:rPr>
      </w:pPr>
      <w:r w:rsidRPr="00F94FA9">
        <w:rPr>
          <w:szCs w:val="24"/>
        </w:rPr>
        <w:t>Wang L, Zhang C, Zhi X, Hou W, Li T, Pan S, Liu B, Song J, Pan Y, Ni J, Cui D. Impact of short-term exposure of AuNCs on the gut microbiota of BALB/c mice. Journal of Biomedical</w:t>
      </w:r>
      <w:r w:rsidR="00D90E38" w:rsidRPr="00F94FA9">
        <w:rPr>
          <w:szCs w:val="24"/>
        </w:rPr>
        <w:t xml:space="preserve"> Nanotechnology 2019 </w:t>
      </w:r>
      <w:r w:rsidR="00D90E38" w:rsidRPr="00F94FA9">
        <w:rPr>
          <w:b/>
          <w:szCs w:val="24"/>
        </w:rPr>
        <w:t>19</w:t>
      </w:r>
      <w:r w:rsidR="00D90E38" w:rsidRPr="00F94FA9">
        <w:rPr>
          <w:szCs w:val="24"/>
        </w:rPr>
        <w:t xml:space="preserve"> 779-789.</w:t>
      </w:r>
    </w:p>
    <w:p w:rsidR="000F2630" w:rsidRPr="00F94FA9" w:rsidRDefault="000F2630" w:rsidP="00DD19CC">
      <w:pPr>
        <w:pStyle w:val="ListParagraph"/>
        <w:spacing w:before="240"/>
        <w:ind w:left="0"/>
        <w:rPr>
          <w:szCs w:val="24"/>
        </w:rPr>
      </w:pPr>
    </w:p>
    <w:p w:rsidR="00D8136A" w:rsidRPr="00F94FA9" w:rsidRDefault="00D8136A" w:rsidP="00CE7094">
      <w:pPr>
        <w:pStyle w:val="ListParagraph"/>
        <w:spacing w:before="240"/>
        <w:ind w:left="0"/>
      </w:pPr>
      <w:r w:rsidRPr="00F94FA9">
        <w:t>Wang Q-P, Browman D, Herzog H, Neely GG. Non-nutritive sweeteners possess a bacteriostatic effect and alter gut microbiota in mice. PLOS One 2018 https://doi.org/10.1371/journal.pone.0199080</w:t>
      </w:r>
      <w:r w:rsidR="00F3088C" w:rsidRPr="00F94FA9">
        <w:t>.</w:t>
      </w:r>
    </w:p>
    <w:p w:rsidR="00D8136A" w:rsidRPr="00F94FA9" w:rsidRDefault="00D8136A" w:rsidP="00D910FC">
      <w:pPr>
        <w:spacing w:before="240"/>
      </w:pPr>
      <w:r w:rsidRPr="00F94FA9">
        <w:t xml:space="preserve">Wang Y, Zhang J, Wang Y, Wang K, Wei H, Shen L. Isolation and characterisation of the </w:t>
      </w:r>
      <w:r w:rsidRPr="00F94FA9">
        <w:rPr>
          <w:i/>
        </w:rPr>
        <w:t>Bacillus cereus</w:t>
      </w:r>
      <w:r w:rsidRPr="00F94FA9">
        <w:t xml:space="preserve"> BC7 strain, which is capable of zearalenone removal and intestinal flora modification in mice. Toxicon 2018 </w:t>
      </w:r>
      <w:r w:rsidRPr="00F94FA9">
        <w:rPr>
          <w:b/>
        </w:rPr>
        <w:t>155</w:t>
      </w:r>
      <w:r w:rsidRPr="00F94FA9">
        <w:t>: 9 – 20.</w:t>
      </w:r>
    </w:p>
    <w:p w:rsidR="00280B52" w:rsidRPr="00F94FA9" w:rsidRDefault="00280B52" w:rsidP="00D910FC">
      <w:pPr>
        <w:spacing w:before="240"/>
      </w:pPr>
      <w:r w:rsidRPr="00F94FA9">
        <w:t xml:space="preserve">Wang Y, Li A, Liu J, Mehmood K, Wangdui B, Shi H, Luo X, Zhang H, Li J. </w:t>
      </w:r>
      <w:r w:rsidRPr="00F94FA9">
        <w:rPr>
          <w:i/>
        </w:rPr>
        <w:t>L pseudomesenteroides</w:t>
      </w:r>
      <w:r w:rsidRPr="00F94FA9">
        <w:t xml:space="preserve"> and </w:t>
      </w:r>
      <w:r w:rsidRPr="00F94FA9">
        <w:rPr>
          <w:i/>
        </w:rPr>
        <w:t>L. johnsonii</w:t>
      </w:r>
      <w:r w:rsidRPr="00F94FA9">
        <w:t xml:space="preserve"> isolated from yaks in Tibet modulate gut microbiota in mice to ameliorate </w:t>
      </w:r>
      <w:r w:rsidR="00E418D5" w:rsidRPr="00F94FA9">
        <w:t xml:space="preserve">enteroinvasive </w:t>
      </w:r>
      <w:r w:rsidR="00E418D5" w:rsidRPr="00F94FA9">
        <w:rPr>
          <w:i/>
        </w:rPr>
        <w:t>Escherichia</w:t>
      </w:r>
      <w:r w:rsidRPr="00F94FA9">
        <w:rPr>
          <w:i/>
        </w:rPr>
        <w:t xml:space="preserve"> coli</w:t>
      </w:r>
      <w:r w:rsidRPr="00F94FA9">
        <w:t>-induced diarrhea. Microbial Pathogenesis</w:t>
      </w:r>
      <w:r w:rsidR="00E418D5" w:rsidRPr="00F94FA9">
        <w:t xml:space="preserve"> 2019</w:t>
      </w:r>
      <w:r w:rsidRPr="00F94FA9">
        <w:t xml:space="preserve"> </w:t>
      </w:r>
      <w:r w:rsidRPr="00F94FA9">
        <w:rPr>
          <w:b/>
        </w:rPr>
        <w:t>133</w:t>
      </w:r>
      <w:r w:rsidRPr="00F94FA9">
        <w:t>: 1 – 9.</w:t>
      </w:r>
    </w:p>
    <w:p w:rsidR="00D8136A" w:rsidRDefault="00D8136A" w:rsidP="00D8136A">
      <w:pPr>
        <w:pStyle w:val="ListParagraph"/>
        <w:ind w:left="0"/>
      </w:pPr>
      <w:r w:rsidRPr="00F94FA9">
        <w:t>Werner T, Wagner SJ, Martines I, Walter J, Chang J-S, Clavel T, Kisling S, Haller D. Depletion of luminal iron alters the gut microbiota and prevents Crohn’s disease-like ileitis. Gut 2010 doi 10.1136/gut.2010.216929</w:t>
      </w:r>
      <w:r w:rsidR="00F3088C" w:rsidRPr="00F94FA9">
        <w:t>.</w:t>
      </w:r>
    </w:p>
    <w:p w:rsidR="00E37C57" w:rsidRDefault="00E37C57" w:rsidP="00D8136A">
      <w:pPr>
        <w:pStyle w:val="ListParagraph"/>
        <w:ind w:left="0"/>
      </w:pPr>
    </w:p>
    <w:p w:rsidR="00E37C57" w:rsidRPr="00E721A1" w:rsidRDefault="00E37C57" w:rsidP="00D8136A">
      <w:pPr>
        <w:pStyle w:val="ListParagraph"/>
        <w:ind w:left="0"/>
      </w:pPr>
      <w:r>
        <w:t>Wheeler ML, Limon JJ, Bar AS, Leal CA, Gargus M, Tang J, Brown J, Funari VA, Wang HL, Crother TR, Arditi M, Underhill DM, Illev ID. Immunological consequences of intestinal fungal dysbiosis</w:t>
      </w:r>
      <w:r w:rsidR="00E721A1">
        <w:t xml:space="preserve">. Cell Host &amp; Microbe 2016 </w:t>
      </w:r>
      <w:r w:rsidR="00E721A1">
        <w:rPr>
          <w:b/>
          <w:bCs/>
        </w:rPr>
        <w:t>19</w:t>
      </w:r>
      <w:r w:rsidR="00E721A1">
        <w:t xml:space="preserve"> 865 – 873.</w:t>
      </w:r>
    </w:p>
    <w:p w:rsidR="00D8136A" w:rsidRPr="00F94FA9" w:rsidRDefault="00D8136A" w:rsidP="00D8136A">
      <w:pPr>
        <w:pStyle w:val="ListParagraph"/>
        <w:ind w:left="0"/>
      </w:pPr>
    </w:p>
    <w:p w:rsidR="00D8136A" w:rsidRPr="00F94FA9" w:rsidRDefault="00D8136A" w:rsidP="009149E2">
      <w:pPr>
        <w:pStyle w:val="ListParagraph"/>
        <w:spacing w:before="240"/>
        <w:ind w:left="0"/>
      </w:pPr>
      <w:bookmarkStart w:id="17" w:name="_Hlk40110945"/>
      <w:r w:rsidRPr="00F94FA9">
        <w:t xml:space="preserve">Wilding LA, Bassis CM, Walacavage K, Hashway S, Leroueil PR, Morishita M, Maynard AD, Philbert MA, Bergin IL. Repeated dose (28 day) administration of silver nanoparticles of varied size and coating does not significantly alter the indigenous murine gut microbiome. Nanotoxicology 2016 </w:t>
      </w:r>
      <w:r w:rsidRPr="00F94FA9">
        <w:rPr>
          <w:b/>
        </w:rPr>
        <w:t>10</w:t>
      </w:r>
      <w:r w:rsidRPr="00F94FA9">
        <w:t>(5): 513 – 520.</w:t>
      </w:r>
    </w:p>
    <w:bookmarkEnd w:id="17"/>
    <w:p w:rsidR="00D8136A" w:rsidRPr="00F94FA9" w:rsidRDefault="00D8136A" w:rsidP="009149E2">
      <w:pPr>
        <w:pStyle w:val="ListParagraph"/>
        <w:spacing w:before="240"/>
        <w:ind w:left="0"/>
      </w:pPr>
    </w:p>
    <w:p w:rsidR="00D8136A" w:rsidRPr="00F94FA9" w:rsidRDefault="00D8136A" w:rsidP="009149E2">
      <w:pPr>
        <w:pStyle w:val="ListParagraph"/>
        <w:spacing w:before="240"/>
        <w:ind w:left="0"/>
      </w:pPr>
      <w:r w:rsidRPr="00F94FA9">
        <w:t xml:space="preserve">Williams K, Milner J, Boudreau MD, Gokulan K, Cerniglia CE, Khare S. Effects of subchronic exposure of silver nanoparticles on intestinal microbiota and gut-associated immune responses in the ileum of Sprague-Dawley rats. Nanotoxicology 2015 </w:t>
      </w:r>
      <w:r w:rsidRPr="00F94FA9">
        <w:rPr>
          <w:b/>
        </w:rPr>
        <w:t>9</w:t>
      </w:r>
      <w:r w:rsidRPr="00F94FA9">
        <w:t>(3): 279 – 289.</w:t>
      </w:r>
    </w:p>
    <w:p w:rsidR="00D239EE" w:rsidRPr="00F94FA9" w:rsidRDefault="00D239EE" w:rsidP="009149E2">
      <w:pPr>
        <w:pStyle w:val="ListParagraph"/>
        <w:spacing w:before="240"/>
        <w:ind w:left="0"/>
      </w:pPr>
    </w:p>
    <w:p w:rsidR="00D239EE" w:rsidRPr="00F94FA9" w:rsidRDefault="00323507" w:rsidP="009149E2">
      <w:pPr>
        <w:pStyle w:val="ListParagraph"/>
        <w:spacing w:before="240"/>
        <w:ind w:left="0"/>
      </w:pPr>
      <w:hyperlink r:id="rId25" w:history="1">
        <w:r w:rsidR="00D239EE" w:rsidRPr="00F94FA9">
          <w:rPr>
            <w:rStyle w:val="Hyperlink"/>
            <w:rFonts w:cs="Arial"/>
            <w:color w:val="auto"/>
            <w:szCs w:val="24"/>
          </w:rPr>
          <w:t>Wortelboer</w:t>
        </w:r>
      </w:hyperlink>
      <w:r w:rsidR="00D239EE" w:rsidRPr="00F94FA9">
        <w:t xml:space="preserve"> </w:t>
      </w:r>
      <w:r w:rsidR="00D239EE" w:rsidRPr="00F94FA9">
        <w:rPr>
          <w:rFonts w:cs="Arial"/>
          <w:szCs w:val="24"/>
        </w:rPr>
        <w:t>K, </w:t>
      </w:r>
      <w:hyperlink r:id="rId26" w:history="1">
        <w:r w:rsidR="00D239EE" w:rsidRPr="00F94FA9">
          <w:rPr>
            <w:rStyle w:val="Hyperlink"/>
            <w:rFonts w:cs="Arial"/>
            <w:color w:val="auto"/>
            <w:szCs w:val="24"/>
          </w:rPr>
          <w:t>Nieuwdorp</w:t>
        </w:r>
      </w:hyperlink>
      <w:r w:rsidR="00D239EE" w:rsidRPr="00F94FA9">
        <w:t xml:space="preserve"> </w:t>
      </w:r>
      <w:r w:rsidR="00D239EE" w:rsidRPr="00F94FA9">
        <w:rPr>
          <w:rFonts w:cs="Arial"/>
          <w:szCs w:val="24"/>
        </w:rPr>
        <w:t>M,</w:t>
      </w:r>
      <w:r w:rsidR="00D239EE" w:rsidRPr="00F94FA9">
        <w:rPr>
          <w:rFonts w:cs="Arial"/>
          <w:szCs w:val="24"/>
          <w:vertAlign w:val="superscript"/>
        </w:rPr>
        <w:t xml:space="preserve"> </w:t>
      </w:r>
      <w:hyperlink r:id="rId27" w:history="1">
        <w:r w:rsidR="00D239EE" w:rsidRPr="00F94FA9">
          <w:rPr>
            <w:rStyle w:val="Hyperlink"/>
            <w:rFonts w:cs="Arial"/>
            <w:color w:val="auto"/>
            <w:szCs w:val="24"/>
          </w:rPr>
          <w:t>Herrema</w:t>
        </w:r>
      </w:hyperlink>
      <w:r w:rsidR="00D239EE" w:rsidRPr="00F94FA9">
        <w:rPr>
          <w:rFonts w:cs="Arial"/>
          <w:szCs w:val="24"/>
          <w:vertAlign w:val="superscript"/>
        </w:rPr>
        <w:t>.</w:t>
      </w:r>
      <w:r w:rsidR="00D239EE" w:rsidRPr="00F94FA9">
        <w:t xml:space="preserve"> </w:t>
      </w:r>
      <w:r w:rsidR="00D239EE" w:rsidRPr="00F94FA9">
        <w:rPr>
          <w:rFonts w:cs="Arial"/>
          <w:szCs w:val="24"/>
        </w:rPr>
        <w:t>H</w:t>
      </w:r>
      <w:r w:rsidR="00D239EE" w:rsidRPr="00F94FA9">
        <w:rPr>
          <w:rFonts w:cs="Arial"/>
          <w:szCs w:val="24"/>
          <w:vertAlign w:val="superscript"/>
        </w:rPr>
        <w:t xml:space="preserve">. </w:t>
      </w:r>
      <w:r w:rsidR="00D239EE" w:rsidRPr="00F94FA9">
        <w:rPr>
          <w:rFonts w:cs="Arial"/>
          <w:bCs/>
          <w:szCs w:val="24"/>
        </w:rPr>
        <w:t>Fecal microbiota transplantation beyond </w:t>
      </w:r>
      <w:r w:rsidR="00D239EE" w:rsidRPr="00F94FA9">
        <w:rPr>
          <w:rStyle w:val="Emphasis"/>
          <w:rFonts w:cs="Arial"/>
          <w:bCs/>
          <w:szCs w:val="24"/>
        </w:rPr>
        <w:t>Clostridioides difficile</w:t>
      </w:r>
      <w:r w:rsidR="00D239EE" w:rsidRPr="00F94FA9">
        <w:rPr>
          <w:rFonts w:cs="Arial"/>
          <w:bCs/>
          <w:szCs w:val="24"/>
        </w:rPr>
        <w:t> infections</w:t>
      </w:r>
      <w:r w:rsidR="00157206" w:rsidRPr="00F94FA9">
        <w:rPr>
          <w:rFonts w:cs="Arial"/>
          <w:bCs/>
          <w:szCs w:val="24"/>
        </w:rPr>
        <w:t xml:space="preserve"> </w:t>
      </w:r>
      <w:hyperlink r:id="rId28" w:history="1">
        <w:r w:rsidR="00D239EE" w:rsidRPr="00F94FA9">
          <w:rPr>
            <w:rStyle w:val="Hyperlink"/>
            <w:rFonts w:cs="Arial"/>
            <w:color w:val="auto"/>
            <w:szCs w:val="24"/>
          </w:rPr>
          <w:t>EBioMedicine</w:t>
        </w:r>
      </w:hyperlink>
      <w:r w:rsidR="00D239EE" w:rsidRPr="00F94FA9">
        <w:rPr>
          <w:rStyle w:val="cit"/>
          <w:rFonts w:cs="Arial"/>
          <w:szCs w:val="24"/>
        </w:rPr>
        <w:t xml:space="preserve">. 2019 </w:t>
      </w:r>
      <w:r w:rsidR="00D239EE" w:rsidRPr="00F94FA9">
        <w:rPr>
          <w:rStyle w:val="cit"/>
          <w:rFonts w:cs="Arial"/>
          <w:b/>
          <w:szCs w:val="24"/>
        </w:rPr>
        <w:t>44</w:t>
      </w:r>
      <w:r w:rsidR="00D239EE" w:rsidRPr="00F94FA9">
        <w:rPr>
          <w:rStyle w:val="cit"/>
          <w:rFonts w:cs="Arial"/>
          <w:szCs w:val="24"/>
        </w:rPr>
        <w:t>: 716–729.</w:t>
      </w:r>
      <w:r w:rsidR="00D239EE" w:rsidRPr="00F94FA9">
        <w:rPr>
          <w:rFonts w:cs="Arial"/>
          <w:szCs w:val="24"/>
        </w:rPr>
        <w:t xml:space="preserve">  </w:t>
      </w:r>
    </w:p>
    <w:p w:rsidR="00D8136A" w:rsidRPr="00F94FA9" w:rsidRDefault="00D8136A" w:rsidP="009149E2">
      <w:pPr>
        <w:pStyle w:val="ListParagraph"/>
        <w:spacing w:before="240"/>
        <w:ind w:left="0"/>
      </w:pPr>
    </w:p>
    <w:p w:rsidR="00D8136A" w:rsidRPr="00F94FA9" w:rsidRDefault="00D8136A" w:rsidP="00DD19CC">
      <w:pPr>
        <w:pStyle w:val="ListParagraph"/>
        <w:spacing w:before="240"/>
        <w:ind w:left="0"/>
      </w:pPr>
      <w:r w:rsidRPr="00F94FA9">
        <w:t xml:space="preserve">Wu G, Xiao X, Feng P, Xie F, Yu Z, Yuan W, Liu P, Li X. Gut remediation: a potential approach to reducing chromium accumulation using </w:t>
      </w:r>
      <w:r w:rsidRPr="00F94FA9">
        <w:rPr>
          <w:i/>
        </w:rPr>
        <w:t>Lactobacillus plantarum</w:t>
      </w:r>
      <w:r w:rsidRPr="00F94FA9">
        <w:t xml:space="preserve"> TW1-1. Nature Scientific Reports 2017 </w:t>
      </w:r>
      <w:r w:rsidRPr="00F94FA9">
        <w:rPr>
          <w:b/>
        </w:rPr>
        <w:t>7</w:t>
      </w:r>
      <w:r w:rsidRPr="00F94FA9">
        <w:t>:15000 doi 10.1038/s41598-017-15216-9</w:t>
      </w:r>
      <w:r w:rsidR="00F3088C" w:rsidRPr="00F94FA9">
        <w:t>.</w:t>
      </w:r>
    </w:p>
    <w:p w:rsidR="00D8136A" w:rsidRPr="00F94FA9" w:rsidRDefault="00D8136A" w:rsidP="00E41F75">
      <w:pPr>
        <w:spacing w:before="240"/>
      </w:pPr>
      <w:r w:rsidRPr="00F94FA9">
        <w:t>Wu J, Wen XW, Faulk C, Boehnke K, Zhang H, Dolinoy DC, Xi C.</w:t>
      </w:r>
      <w:r w:rsidR="002749F3">
        <w:t xml:space="preserve"> </w:t>
      </w:r>
      <w:r w:rsidRPr="00F94FA9">
        <w:t>Perinatal lead exposure alters gut microbiota composition and results in sex-specific bodyweight changes in adult mice</w:t>
      </w:r>
      <w:r w:rsidR="00E41F75">
        <w:t>.</w:t>
      </w:r>
      <w:r w:rsidR="00E41F75" w:rsidRPr="00E41F75">
        <w:t xml:space="preserve"> </w:t>
      </w:r>
      <w:r w:rsidR="00E41F75">
        <w:t xml:space="preserve">Toxicological Sciences </w:t>
      </w:r>
      <w:r w:rsidR="00E41F75" w:rsidRPr="00E41F75">
        <w:rPr>
          <w:b/>
          <w:bCs/>
        </w:rPr>
        <w:t>151</w:t>
      </w:r>
      <w:r w:rsidR="00E41F75">
        <w:t xml:space="preserve"> (2): 324-33.</w:t>
      </w:r>
    </w:p>
    <w:p w:rsidR="00D8136A" w:rsidRPr="00F94FA9" w:rsidRDefault="00D8136A" w:rsidP="00540FEA">
      <w:pPr>
        <w:rPr>
          <w:szCs w:val="24"/>
        </w:rPr>
      </w:pPr>
      <w:r w:rsidRPr="00F94FA9">
        <w:rPr>
          <w:szCs w:val="24"/>
        </w:rPr>
        <w:t xml:space="preserve">Wu S, Jin C, Wang Y, Fu Z, Jin Y. Exposure to the fungicide propamocarb causes gut microbiota dysbiosis and metabolic disorder in mice. Environmental Pollution 2018a. </w:t>
      </w:r>
      <w:r w:rsidRPr="00F94FA9">
        <w:rPr>
          <w:b/>
          <w:szCs w:val="24"/>
        </w:rPr>
        <w:t>237</w:t>
      </w:r>
      <w:r w:rsidRPr="00F94FA9">
        <w:rPr>
          <w:szCs w:val="24"/>
        </w:rPr>
        <w:t>: 775 – 783.</w:t>
      </w:r>
    </w:p>
    <w:p w:rsidR="00D8136A" w:rsidRPr="00F94FA9" w:rsidRDefault="00D8136A" w:rsidP="00540FEA">
      <w:pPr>
        <w:rPr>
          <w:szCs w:val="24"/>
        </w:rPr>
      </w:pPr>
      <w:r w:rsidRPr="00F94FA9">
        <w:rPr>
          <w:szCs w:val="24"/>
        </w:rPr>
        <w:t>Wu S, Luo T, Wang S, Zhou J, Ni Y, Fu Z, Jin Y. Chronic exposure to the fungicide propamocarb induces bile acid metabolic disorder and increases</w:t>
      </w:r>
      <w:r w:rsidR="00C762D7" w:rsidRPr="00F94FA9">
        <w:rPr>
          <w:szCs w:val="24"/>
        </w:rPr>
        <w:t xml:space="preserve"> </w:t>
      </w:r>
      <w:r w:rsidRPr="00F94FA9">
        <w:rPr>
          <w:szCs w:val="24"/>
        </w:rPr>
        <w:t xml:space="preserve">trimethylamine in C57BL/6 mice. Science of the Total Environment 2018b </w:t>
      </w:r>
      <w:r w:rsidRPr="00F94FA9">
        <w:rPr>
          <w:b/>
          <w:szCs w:val="24"/>
        </w:rPr>
        <w:t>642</w:t>
      </w:r>
      <w:r w:rsidRPr="00F94FA9">
        <w:rPr>
          <w:szCs w:val="24"/>
        </w:rPr>
        <w:t xml:space="preserve">: 341 </w:t>
      </w:r>
      <w:r w:rsidR="00F3088C" w:rsidRPr="00F94FA9">
        <w:rPr>
          <w:szCs w:val="24"/>
        </w:rPr>
        <w:t>–</w:t>
      </w:r>
      <w:r w:rsidRPr="00F94FA9">
        <w:rPr>
          <w:szCs w:val="24"/>
        </w:rPr>
        <w:t xml:space="preserve"> 348</w:t>
      </w:r>
      <w:r w:rsidR="00F3088C" w:rsidRPr="00F94FA9">
        <w:rPr>
          <w:szCs w:val="24"/>
        </w:rPr>
        <w:t>.</w:t>
      </w:r>
    </w:p>
    <w:p w:rsidR="00C762D7" w:rsidRPr="00F94FA9" w:rsidRDefault="00C762D7" w:rsidP="00540FEA">
      <w:pPr>
        <w:rPr>
          <w:szCs w:val="24"/>
        </w:rPr>
      </w:pPr>
      <w:r w:rsidRPr="00F94FA9">
        <w:rPr>
          <w:szCs w:val="24"/>
        </w:rPr>
        <w:t xml:space="preserve">Wu W, Sun M, Chen F, Cao AT, Liu H, Zhao Y, Huang X, XiaoY, Yao S, Zhao Q, Liu Z, Cong Y. Microbiota metabolite short-chain fatty acid acetate promotes intestinal IgA response to microbiota which is mediated by GPR 43.Mucosal Immunology 2017 </w:t>
      </w:r>
      <w:r w:rsidRPr="00F94FA9">
        <w:rPr>
          <w:b/>
          <w:szCs w:val="24"/>
        </w:rPr>
        <w:t>10</w:t>
      </w:r>
      <w:r w:rsidRPr="00F94FA9">
        <w:rPr>
          <w:szCs w:val="24"/>
        </w:rPr>
        <w:t xml:space="preserve">(4): 946 </w:t>
      </w:r>
      <w:r w:rsidR="00E41F75">
        <w:rPr>
          <w:szCs w:val="24"/>
        </w:rPr>
        <w:t>–</w:t>
      </w:r>
      <w:r w:rsidRPr="00F94FA9">
        <w:rPr>
          <w:szCs w:val="24"/>
        </w:rPr>
        <w:t xml:space="preserve"> 956</w:t>
      </w:r>
      <w:r w:rsidR="00E41F75">
        <w:rPr>
          <w:szCs w:val="24"/>
        </w:rPr>
        <w:t>.</w:t>
      </w:r>
    </w:p>
    <w:p w:rsidR="00D8136A" w:rsidRPr="00F94FA9" w:rsidRDefault="00D8136A" w:rsidP="00CE7094">
      <w:pPr>
        <w:pStyle w:val="ListParagraph"/>
        <w:spacing w:before="240"/>
        <w:ind w:left="0"/>
      </w:pPr>
      <w:r w:rsidRPr="00F94FA9">
        <w:t xml:space="preserve">Xia G, Zhong W, Zheng X, Li Q, Qiu Y, Li H, Chan H, Zhou Z, Jia W. Chronic ethanol consumption alters mammalian gastrointestinal content metabolites. Journal of Proteome Research 2013 </w:t>
      </w:r>
      <w:r w:rsidRPr="00F94FA9">
        <w:rPr>
          <w:b/>
        </w:rPr>
        <w:t>12</w:t>
      </w:r>
      <w:r w:rsidRPr="00F94FA9">
        <w:t>(7): 3297 – 3306.</w:t>
      </w:r>
    </w:p>
    <w:p w:rsidR="00D8136A" w:rsidRPr="00F94FA9" w:rsidRDefault="00D8136A" w:rsidP="00CE7094">
      <w:pPr>
        <w:pStyle w:val="ListParagraph"/>
        <w:spacing w:before="240"/>
        <w:ind w:left="0"/>
      </w:pPr>
    </w:p>
    <w:p w:rsidR="00D8136A" w:rsidRPr="00F94FA9" w:rsidRDefault="00D8136A" w:rsidP="00540FEA">
      <w:pPr>
        <w:pStyle w:val="ListParagraph"/>
        <w:spacing w:before="240"/>
        <w:ind w:left="0"/>
        <w:rPr>
          <w:szCs w:val="24"/>
        </w:rPr>
      </w:pPr>
      <w:r w:rsidRPr="00F94FA9">
        <w:rPr>
          <w:szCs w:val="24"/>
        </w:rPr>
        <w:t xml:space="preserve">Xu C, Lui O, Huan F, Qu J, Liu W, Gu A. Changes in gut microbiota may be early sign of liver toxicity induced by </w:t>
      </w:r>
      <w:r w:rsidR="00331B91" w:rsidRPr="00F94FA9">
        <w:rPr>
          <w:szCs w:val="24"/>
        </w:rPr>
        <w:t>epoxiconazole</w:t>
      </w:r>
      <w:r w:rsidRPr="00F94FA9">
        <w:rPr>
          <w:szCs w:val="24"/>
        </w:rPr>
        <w:t xml:space="preserve"> in rats. Chemotherapy 2014 </w:t>
      </w:r>
      <w:r w:rsidRPr="00F94FA9">
        <w:rPr>
          <w:b/>
          <w:szCs w:val="24"/>
        </w:rPr>
        <w:t>60</w:t>
      </w:r>
      <w:r w:rsidRPr="00F94FA9">
        <w:rPr>
          <w:szCs w:val="24"/>
        </w:rPr>
        <w:t>(2): 135 – 1422</w:t>
      </w:r>
      <w:r w:rsidR="009177D4" w:rsidRPr="00F94FA9">
        <w:rPr>
          <w:szCs w:val="24"/>
        </w:rPr>
        <w:t>.</w:t>
      </w:r>
    </w:p>
    <w:p w:rsidR="009177D4" w:rsidRPr="00F94FA9" w:rsidRDefault="009177D4" w:rsidP="00540FEA">
      <w:pPr>
        <w:pStyle w:val="ListParagraph"/>
        <w:spacing w:before="240"/>
        <w:ind w:left="0"/>
        <w:rPr>
          <w:szCs w:val="24"/>
        </w:rPr>
      </w:pPr>
    </w:p>
    <w:p w:rsidR="009177D4" w:rsidRDefault="009177D4" w:rsidP="00540FEA">
      <w:pPr>
        <w:pStyle w:val="ListParagraph"/>
        <w:spacing w:before="240"/>
        <w:ind w:left="0"/>
        <w:rPr>
          <w:szCs w:val="24"/>
        </w:rPr>
      </w:pPr>
      <w:r w:rsidRPr="00F94FA9">
        <w:rPr>
          <w:szCs w:val="24"/>
        </w:rPr>
        <w:t xml:space="preserve">Xia J, Jin C, Pan Z, Sun L, Fu Z, Jin Y. Chronic exposure to low concentrations of lead induces metabolic disorder and dysbiosis of the gut microbiota in mice. Science of the Total Environment 2018 </w:t>
      </w:r>
      <w:r w:rsidRPr="00F94FA9">
        <w:rPr>
          <w:b/>
          <w:szCs w:val="24"/>
        </w:rPr>
        <w:t>631 – 633</w:t>
      </w:r>
      <w:r w:rsidRPr="00F94FA9">
        <w:rPr>
          <w:szCs w:val="24"/>
        </w:rPr>
        <w:t xml:space="preserve">: 438 – 448. </w:t>
      </w:r>
    </w:p>
    <w:p w:rsidR="00FD6EF0" w:rsidRDefault="00FD6EF0" w:rsidP="00540FEA">
      <w:pPr>
        <w:pStyle w:val="ListParagraph"/>
        <w:spacing w:before="240"/>
        <w:ind w:left="0"/>
        <w:rPr>
          <w:szCs w:val="24"/>
        </w:rPr>
      </w:pPr>
    </w:p>
    <w:p w:rsidR="00FD6EF0" w:rsidRPr="00F94FA9" w:rsidRDefault="00FD6EF0" w:rsidP="00540FEA">
      <w:pPr>
        <w:pStyle w:val="ListParagraph"/>
        <w:spacing w:before="240"/>
        <w:ind w:left="0"/>
        <w:rPr>
          <w:szCs w:val="24"/>
        </w:rPr>
      </w:pPr>
      <w:r w:rsidRPr="00FD6EF0">
        <w:rPr>
          <w:szCs w:val="24"/>
        </w:rPr>
        <w:t>Yatsunenko T, Rey FE, Manary MJ, Trehan I, Dominguez-Bello MG, Contreras M, Magris M, Hidalgo G, Baldassano RN, Anokhin AP, Heath AC, Warner B, Reeder J, Kuczynski J, Caporaso JG, Lozupone CA, Lauber C, Clemente JC, Knights D, Knight R, Gordon JI.. Human gut microbiome viewed across age and geography. Nature</w:t>
      </w:r>
      <w:r>
        <w:rPr>
          <w:szCs w:val="24"/>
        </w:rPr>
        <w:t xml:space="preserve">  </w:t>
      </w:r>
      <w:r w:rsidRPr="00FD6EF0">
        <w:rPr>
          <w:szCs w:val="24"/>
        </w:rPr>
        <w:t>2012</w:t>
      </w:r>
      <w:r>
        <w:rPr>
          <w:szCs w:val="24"/>
        </w:rPr>
        <w:t xml:space="preserve"> </w:t>
      </w:r>
      <w:r w:rsidRPr="00FD6EF0">
        <w:rPr>
          <w:szCs w:val="24"/>
        </w:rPr>
        <w:t>486:222–227</w:t>
      </w:r>
    </w:p>
    <w:p w:rsidR="00D8136A" w:rsidRPr="00F94FA9" w:rsidRDefault="00D8136A" w:rsidP="00540FEA">
      <w:pPr>
        <w:pStyle w:val="ListParagraph"/>
        <w:spacing w:before="240"/>
        <w:ind w:left="0"/>
        <w:rPr>
          <w:szCs w:val="24"/>
        </w:rPr>
      </w:pPr>
    </w:p>
    <w:p w:rsidR="00D8136A" w:rsidRPr="00F94FA9" w:rsidRDefault="00D8136A" w:rsidP="009149E2">
      <w:pPr>
        <w:pStyle w:val="ListParagraph"/>
        <w:spacing w:before="240"/>
        <w:ind w:left="0"/>
      </w:pPr>
      <w:r w:rsidRPr="00F94FA9">
        <w:t xml:space="preserve">Yin N, Gao R, Knowles B, Wang J, Wang P, Sun G, Cui Y. Formation of silver nanoparticles by human gut microbiota. Science of the |Total Environment 2019 </w:t>
      </w:r>
      <w:r w:rsidRPr="00F94FA9">
        <w:rPr>
          <w:b/>
        </w:rPr>
        <w:t>651</w:t>
      </w:r>
      <w:r w:rsidRPr="00F94FA9">
        <w:t>: 1489 – 1494.</w:t>
      </w:r>
    </w:p>
    <w:p w:rsidR="00F3088C" w:rsidRPr="00F94FA9" w:rsidRDefault="00F3088C" w:rsidP="009149E2">
      <w:pPr>
        <w:pStyle w:val="ListParagraph"/>
        <w:spacing w:before="240"/>
        <w:ind w:left="0"/>
      </w:pPr>
    </w:p>
    <w:p w:rsidR="00D8136A" w:rsidRDefault="00D8136A" w:rsidP="00D910FC">
      <w:pPr>
        <w:pStyle w:val="ListParagraph"/>
        <w:spacing w:before="240"/>
        <w:ind w:left="0"/>
      </w:pPr>
      <w:r w:rsidRPr="00F94FA9">
        <w:t xml:space="preserve">Yoo D-H, Kim IS, Le TKV, Jung I-H,  Yoo HH, Kim D-H. Gut microbiota-mediated drug interactions between lovastatin and antibiotics. Drug Metabolism and Distribution 2014 </w:t>
      </w:r>
      <w:r w:rsidRPr="00F94FA9">
        <w:rPr>
          <w:b/>
        </w:rPr>
        <w:t>42</w:t>
      </w:r>
      <w:r w:rsidRPr="00F94FA9">
        <w:t>: 1508 – 1513.</w:t>
      </w:r>
    </w:p>
    <w:p w:rsidR="00B820BD" w:rsidRDefault="00B820BD" w:rsidP="00D910FC">
      <w:pPr>
        <w:pStyle w:val="ListParagraph"/>
        <w:spacing w:before="240"/>
        <w:ind w:left="0"/>
      </w:pPr>
    </w:p>
    <w:p w:rsidR="00B820BD" w:rsidRPr="00B820BD" w:rsidRDefault="00B820BD" w:rsidP="00B820BD">
      <w:pPr>
        <w:pStyle w:val="HTMLPreformatted"/>
        <w:rPr>
          <w:rFonts w:ascii="Arial" w:hAnsi="Arial" w:cs="Arial"/>
          <w:color w:val="000000"/>
          <w:sz w:val="24"/>
          <w:szCs w:val="24"/>
        </w:rPr>
      </w:pPr>
      <w:r w:rsidRPr="00B820BD">
        <w:rPr>
          <w:rFonts w:ascii="Arial" w:hAnsi="Arial" w:cs="Arial"/>
          <w:color w:val="000000"/>
          <w:sz w:val="24"/>
          <w:szCs w:val="24"/>
        </w:rPr>
        <w:t>Young GR, Abdelghany TM, Leitch AC, Dunn MP, Blain PG, Lanyon C, Wright MC.</w:t>
      </w:r>
    </w:p>
    <w:p w:rsidR="00B820BD" w:rsidRPr="00B820BD" w:rsidRDefault="00B820BD" w:rsidP="00B820BD">
      <w:pPr>
        <w:pStyle w:val="HTMLPreformatted"/>
        <w:rPr>
          <w:rFonts w:ascii="Arial" w:hAnsi="Arial" w:cs="Arial"/>
          <w:color w:val="000000"/>
          <w:sz w:val="24"/>
          <w:szCs w:val="24"/>
        </w:rPr>
      </w:pPr>
      <w:r w:rsidRPr="00B820BD">
        <w:rPr>
          <w:rFonts w:ascii="Arial" w:hAnsi="Arial" w:cs="Arial"/>
          <w:color w:val="000000"/>
          <w:sz w:val="24"/>
          <w:szCs w:val="24"/>
        </w:rPr>
        <w:t>Changes in the gut microbiota of mice orally exposed to methylimidazolium ionic</w:t>
      </w:r>
    </w:p>
    <w:p w:rsidR="00B820BD" w:rsidRPr="00B820BD" w:rsidRDefault="00B820BD" w:rsidP="00B820BD">
      <w:pPr>
        <w:pStyle w:val="HTMLPreformatted"/>
        <w:rPr>
          <w:rFonts w:ascii="Arial" w:hAnsi="Arial" w:cs="Arial"/>
          <w:color w:val="000000"/>
          <w:sz w:val="24"/>
          <w:szCs w:val="24"/>
        </w:rPr>
      </w:pPr>
      <w:r w:rsidRPr="00B820BD">
        <w:rPr>
          <w:rFonts w:ascii="Arial" w:hAnsi="Arial" w:cs="Arial"/>
          <w:color w:val="000000"/>
          <w:sz w:val="24"/>
          <w:szCs w:val="24"/>
        </w:rPr>
        <w:t xml:space="preserve">liquids. PLoS One. 2020 </w:t>
      </w:r>
      <w:r w:rsidRPr="002063A1">
        <w:rPr>
          <w:rFonts w:ascii="Arial" w:hAnsi="Arial" w:cs="Arial"/>
          <w:b/>
          <w:bCs/>
          <w:color w:val="000000"/>
          <w:sz w:val="24"/>
          <w:szCs w:val="24"/>
        </w:rPr>
        <w:t>15</w:t>
      </w:r>
      <w:r w:rsidRPr="00B820BD">
        <w:rPr>
          <w:rFonts w:ascii="Arial" w:hAnsi="Arial" w:cs="Arial"/>
          <w:color w:val="000000"/>
          <w:sz w:val="24"/>
          <w:szCs w:val="24"/>
        </w:rPr>
        <w:t>(3):e0229745. doi: 10.1371/journal.pone.0229745.</w:t>
      </w:r>
    </w:p>
    <w:p w:rsidR="00B820BD" w:rsidRDefault="00B820BD" w:rsidP="00D910FC">
      <w:pPr>
        <w:rPr>
          <w:lang w:eastAsia="en-GB"/>
        </w:rPr>
      </w:pPr>
    </w:p>
    <w:p w:rsidR="00D8136A" w:rsidRPr="00F94FA9" w:rsidRDefault="00D8136A" w:rsidP="00D910FC">
      <w:pPr>
        <w:rPr>
          <w:szCs w:val="24"/>
        </w:rPr>
      </w:pPr>
      <w:r w:rsidRPr="00F94FA9">
        <w:rPr>
          <w:lang w:eastAsia="en-GB"/>
        </w:rPr>
        <w:t xml:space="preserve">Zhai Q, Liu Y, Wang C, Qu D, Zhao J, Zhang H, Tian F, Chen W. </w:t>
      </w:r>
      <w:r w:rsidRPr="00F94FA9">
        <w:rPr>
          <w:i/>
          <w:szCs w:val="24"/>
        </w:rPr>
        <w:t xml:space="preserve">Lactobacillus plantarum </w:t>
      </w:r>
      <w:r w:rsidRPr="00F94FA9">
        <w:rPr>
          <w:szCs w:val="24"/>
        </w:rPr>
        <w:t xml:space="preserve">CCFM8661 modulates bile acid enterohepatic circulation and increases lead excretion in mice. Food &amp; Function2019 </w:t>
      </w:r>
      <w:r w:rsidRPr="00F94FA9">
        <w:rPr>
          <w:b/>
          <w:szCs w:val="24"/>
        </w:rPr>
        <w:t>10</w:t>
      </w:r>
      <w:r w:rsidRPr="00F94FA9">
        <w:rPr>
          <w:szCs w:val="24"/>
        </w:rPr>
        <w:t>: 1455 – 1464.</w:t>
      </w:r>
    </w:p>
    <w:p w:rsidR="00D8136A" w:rsidRPr="00F94FA9" w:rsidRDefault="00D8136A" w:rsidP="00CE7094">
      <w:pPr>
        <w:pStyle w:val="ListParagraph"/>
        <w:spacing w:before="240"/>
        <w:ind w:left="0"/>
        <w:rPr>
          <w:szCs w:val="24"/>
        </w:rPr>
      </w:pPr>
      <w:r w:rsidRPr="00F94FA9">
        <w:rPr>
          <w:szCs w:val="24"/>
        </w:rPr>
        <w:t xml:space="preserve">Zhan J, Liang Y, Liu D, Ma X, Li P, Liu C, Liu X, wang P, Zhou Z. Antibiotics may increase triazine herbicide exposure risk via disturbing gut microbiota. Microbiome 2018 </w:t>
      </w:r>
      <w:r w:rsidRPr="00F94FA9">
        <w:rPr>
          <w:b/>
          <w:szCs w:val="24"/>
        </w:rPr>
        <w:t>6</w:t>
      </w:r>
      <w:r w:rsidRPr="00F94FA9">
        <w:rPr>
          <w:szCs w:val="24"/>
        </w:rPr>
        <w:t>: 224 – 236</w:t>
      </w:r>
      <w:r w:rsidR="00E41F75">
        <w:rPr>
          <w:szCs w:val="24"/>
        </w:rPr>
        <w:t>.</w:t>
      </w:r>
    </w:p>
    <w:p w:rsidR="00D8136A" w:rsidRPr="00F94FA9" w:rsidRDefault="00D8136A" w:rsidP="00CE7094">
      <w:pPr>
        <w:pStyle w:val="ListParagraph"/>
        <w:spacing w:before="240"/>
        <w:ind w:left="0"/>
        <w:rPr>
          <w:szCs w:val="24"/>
        </w:rPr>
      </w:pPr>
    </w:p>
    <w:p w:rsidR="00D8136A" w:rsidRPr="00F94FA9" w:rsidRDefault="00D8136A" w:rsidP="00540FEA">
      <w:pPr>
        <w:pStyle w:val="ListParagraph"/>
        <w:spacing w:before="240"/>
        <w:ind w:left="0"/>
        <w:rPr>
          <w:szCs w:val="24"/>
        </w:rPr>
      </w:pPr>
      <w:r w:rsidRPr="00F94FA9">
        <w:rPr>
          <w:szCs w:val="24"/>
        </w:rPr>
        <w:t>Zhang L, Huang Y, Zhou Y, Buckley T, Wang HH. Antibiotic administration routes significantly influence the levels of antibiotic resistance in gut microbiota.  Antimicrobial Agents and Chemotherapy</w:t>
      </w:r>
      <w:r w:rsidR="000F63A1">
        <w:rPr>
          <w:szCs w:val="24"/>
        </w:rPr>
        <w:t xml:space="preserve"> 2013</w:t>
      </w:r>
      <w:r w:rsidRPr="00F94FA9">
        <w:rPr>
          <w:szCs w:val="24"/>
        </w:rPr>
        <w:t xml:space="preserve"> </w:t>
      </w:r>
      <w:r w:rsidRPr="00F94FA9">
        <w:rPr>
          <w:b/>
          <w:szCs w:val="24"/>
        </w:rPr>
        <w:t>57</w:t>
      </w:r>
      <w:r w:rsidRPr="00F94FA9">
        <w:rPr>
          <w:szCs w:val="24"/>
        </w:rPr>
        <w:t>(8): 3659 – 3666.</w:t>
      </w:r>
    </w:p>
    <w:p w:rsidR="00F55126" w:rsidRPr="00F94FA9" w:rsidRDefault="00F55126" w:rsidP="00F55126">
      <w:pPr>
        <w:spacing w:before="240"/>
        <w:rPr>
          <w:rStyle w:val="SubtleReference"/>
          <w:smallCaps w:val="0"/>
          <w:color w:val="auto"/>
        </w:rPr>
      </w:pPr>
      <w:r w:rsidRPr="00F94FA9">
        <w:rPr>
          <w:rStyle w:val="SubtleReference"/>
          <w:smallCaps w:val="0"/>
          <w:color w:val="auto"/>
        </w:rPr>
        <w:t xml:space="preserve">Zhang L, Nichols RG, Correll J, Murray IA, Tanaka N, Smith PB, Hubbard TD, Sebastian A, Albert I, Hatzakis E, Gonzalez FJ, Perdew GH, Patterson AD. Persistent organic pollutants modify gut microbiota-host metabolic homeostasis in mice through aryl hydrocarbon receptor activation. Environmental </w:t>
      </w:r>
      <w:r w:rsidR="00331B91" w:rsidRPr="00F94FA9">
        <w:rPr>
          <w:rStyle w:val="SubtleReference"/>
          <w:smallCaps w:val="0"/>
          <w:color w:val="auto"/>
        </w:rPr>
        <w:t>Health</w:t>
      </w:r>
      <w:r w:rsidRPr="00F94FA9">
        <w:rPr>
          <w:rStyle w:val="SubtleReference"/>
          <w:smallCaps w:val="0"/>
          <w:color w:val="auto"/>
        </w:rPr>
        <w:t xml:space="preserve"> Perspectives</w:t>
      </w:r>
      <w:r w:rsidR="00EE10EE">
        <w:rPr>
          <w:rStyle w:val="SubtleReference"/>
          <w:smallCaps w:val="0"/>
          <w:color w:val="auto"/>
        </w:rPr>
        <w:t xml:space="preserve"> 2015</w:t>
      </w:r>
      <w:r w:rsidRPr="00F94FA9">
        <w:rPr>
          <w:rStyle w:val="SubtleReference"/>
          <w:smallCaps w:val="0"/>
          <w:color w:val="auto"/>
        </w:rPr>
        <w:t xml:space="preserve"> </w:t>
      </w:r>
      <w:r w:rsidRPr="00F94FA9">
        <w:rPr>
          <w:rStyle w:val="SubtleReference"/>
          <w:b/>
          <w:smallCaps w:val="0"/>
          <w:color w:val="auto"/>
        </w:rPr>
        <w:t>123</w:t>
      </w:r>
      <w:r w:rsidRPr="00F94FA9">
        <w:rPr>
          <w:rStyle w:val="SubtleReference"/>
          <w:smallCaps w:val="0"/>
          <w:color w:val="auto"/>
        </w:rPr>
        <w:t xml:space="preserve">(7): 679 - 688 </w:t>
      </w:r>
    </w:p>
    <w:p w:rsidR="00D8136A" w:rsidRPr="00F94FA9" w:rsidRDefault="00D8136A" w:rsidP="009149E2">
      <w:pPr>
        <w:pStyle w:val="ListParagraph"/>
        <w:spacing w:before="240"/>
        <w:ind w:left="0"/>
      </w:pPr>
      <w:r w:rsidRPr="00F94FA9">
        <w:t xml:space="preserve">Zhang P, Zhu W, Wang D, Yan J, Wang Y, Zhou Z, He L. A combined NMR- and HPLC-MS-MS based metabolomics to evaluate the metabolic perturbations and subacute toxic effects of endosulfan on mice. Environmental Science and Pollution Research 2017 </w:t>
      </w:r>
      <w:r w:rsidRPr="00F94FA9">
        <w:rPr>
          <w:b/>
        </w:rPr>
        <w:t>24</w:t>
      </w:r>
      <w:r w:rsidRPr="00F94FA9">
        <w:t>:18870 – 1888.</w:t>
      </w:r>
    </w:p>
    <w:p w:rsidR="00D8136A" w:rsidRPr="00F94FA9" w:rsidRDefault="00D8136A" w:rsidP="009149E2">
      <w:pPr>
        <w:pStyle w:val="ListParagraph"/>
        <w:spacing w:before="240"/>
        <w:ind w:left="0"/>
      </w:pPr>
    </w:p>
    <w:p w:rsidR="00D8136A" w:rsidRDefault="00D8136A" w:rsidP="00CE7094">
      <w:pPr>
        <w:pStyle w:val="ListParagraph"/>
        <w:spacing w:before="240"/>
        <w:ind w:left="0"/>
        <w:rPr>
          <w:szCs w:val="24"/>
        </w:rPr>
      </w:pPr>
      <w:r w:rsidRPr="00F94FA9">
        <w:rPr>
          <w:szCs w:val="24"/>
        </w:rPr>
        <w:t xml:space="preserve">Zhang Y, Keerthisinghe TP, Han Y, Liu M, Wanjaya ER, Fang M. “cocktail” of xenobiotics at human relevant levels reshapes gut bacterial metabiome in a species-specific manner. Environmental Science and Technology 2018 </w:t>
      </w:r>
      <w:r w:rsidRPr="00F94FA9">
        <w:rPr>
          <w:b/>
          <w:szCs w:val="24"/>
        </w:rPr>
        <w:t>52</w:t>
      </w:r>
      <w:r w:rsidRPr="00F94FA9">
        <w:rPr>
          <w:szCs w:val="24"/>
        </w:rPr>
        <w:t xml:space="preserve">: </w:t>
      </w:r>
      <w:r w:rsidR="00844EA5">
        <w:rPr>
          <w:szCs w:val="24"/>
        </w:rPr>
        <w:t>1</w:t>
      </w:r>
      <w:r w:rsidRPr="00F94FA9">
        <w:rPr>
          <w:szCs w:val="24"/>
        </w:rPr>
        <w:t xml:space="preserve">1402 – </w:t>
      </w:r>
      <w:r w:rsidR="00844EA5">
        <w:rPr>
          <w:szCs w:val="24"/>
        </w:rPr>
        <w:t>1</w:t>
      </w:r>
      <w:r w:rsidRPr="00F94FA9">
        <w:rPr>
          <w:szCs w:val="24"/>
        </w:rPr>
        <w:t>1410.</w:t>
      </w:r>
    </w:p>
    <w:p w:rsidR="00E81B08" w:rsidRDefault="00E81B08" w:rsidP="00CE7094">
      <w:pPr>
        <w:pStyle w:val="ListParagraph"/>
        <w:spacing w:before="240"/>
        <w:ind w:left="0"/>
        <w:rPr>
          <w:szCs w:val="24"/>
        </w:rPr>
      </w:pPr>
    </w:p>
    <w:p w:rsidR="00E81B08" w:rsidRPr="00E81B08" w:rsidRDefault="00E81B08" w:rsidP="00E81B08">
      <w:pPr>
        <w:pStyle w:val="ListParagraph"/>
        <w:spacing w:before="240"/>
        <w:ind w:left="0"/>
        <w:rPr>
          <w:szCs w:val="24"/>
        </w:rPr>
      </w:pPr>
      <w:r w:rsidRPr="00E81B08">
        <w:rPr>
          <w:szCs w:val="24"/>
        </w:rPr>
        <w:t>Zhou</w:t>
      </w:r>
      <w:r>
        <w:rPr>
          <w:szCs w:val="24"/>
        </w:rPr>
        <w:t xml:space="preserve"> X, </w:t>
      </w:r>
      <w:r w:rsidRPr="00E81B08">
        <w:rPr>
          <w:szCs w:val="24"/>
        </w:rPr>
        <w:t>Wang</w:t>
      </w:r>
      <w:r>
        <w:rPr>
          <w:szCs w:val="24"/>
        </w:rPr>
        <w:t xml:space="preserve"> L, </w:t>
      </w:r>
      <w:r w:rsidRPr="00E81B08">
        <w:rPr>
          <w:szCs w:val="24"/>
        </w:rPr>
        <w:t>Suna</w:t>
      </w:r>
      <w:r>
        <w:rPr>
          <w:szCs w:val="24"/>
        </w:rPr>
        <w:t xml:space="preserve"> X, </w:t>
      </w:r>
      <w:r w:rsidRPr="00E81B08">
        <w:rPr>
          <w:szCs w:val="24"/>
        </w:rPr>
        <w:t>Yang</w:t>
      </w:r>
      <w:r>
        <w:rPr>
          <w:szCs w:val="24"/>
        </w:rPr>
        <w:t xml:space="preserve"> X, </w:t>
      </w:r>
      <w:r w:rsidRPr="00E81B08">
        <w:rPr>
          <w:szCs w:val="24"/>
        </w:rPr>
        <w:t>Chen</w:t>
      </w:r>
      <w:r>
        <w:rPr>
          <w:szCs w:val="24"/>
        </w:rPr>
        <w:t xml:space="preserve"> C, </w:t>
      </w:r>
      <w:r w:rsidRPr="00E81B08">
        <w:rPr>
          <w:szCs w:val="24"/>
        </w:rPr>
        <w:t>Wang</w:t>
      </w:r>
      <w:r>
        <w:rPr>
          <w:szCs w:val="24"/>
        </w:rPr>
        <w:t xml:space="preserve"> Q, </w:t>
      </w:r>
      <w:r w:rsidRPr="00E81B08">
        <w:rPr>
          <w:szCs w:val="24"/>
        </w:rPr>
        <w:t>Yang</w:t>
      </w:r>
      <w:r>
        <w:rPr>
          <w:szCs w:val="24"/>
        </w:rPr>
        <w:t xml:space="preserve"> X.</w:t>
      </w:r>
      <w:r w:rsidRPr="00E81B08">
        <w:rPr>
          <w:szCs w:val="24"/>
        </w:rPr>
        <w:t>Cinnabar is not converted into methylmercury by human intestinal bacteria</w:t>
      </w:r>
      <w:r>
        <w:rPr>
          <w:szCs w:val="24"/>
        </w:rPr>
        <w:t xml:space="preserve"> </w:t>
      </w:r>
      <w:r w:rsidRPr="00E81B08">
        <w:rPr>
          <w:szCs w:val="24"/>
        </w:rPr>
        <w:t xml:space="preserve">Journal of Ethnopharmacology </w:t>
      </w:r>
      <w:r w:rsidRPr="00E81B08">
        <w:rPr>
          <w:b/>
          <w:bCs/>
          <w:szCs w:val="24"/>
        </w:rPr>
        <w:t>135</w:t>
      </w:r>
      <w:r w:rsidRPr="00E81B08">
        <w:rPr>
          <w:szCs w:val="24"/>
        </w:rPr>
        <w:t>(1): 110-115</w:t>
      </w:r>
      <w:r w:rsidR="00E41F75">
        <w:rPr>
          <w:szCs w:val="24"/>
        </w:rPr>
        <w:t>.</w:t>
      </w:r>
    </w:p>
    <w:p w:rsidR="007B3C0B" w:rsidRDefault="007B3C0B" w:rsidP="00CE7094">
      <w:pPr>
        <w:pStyle w:val="ListParagraph"/>
        <w:spacing w:before="240"/>
        <w:ind w:left="0"/>
        <w:rPr>
          <w:szCs w:val="24"/>
        </w:rPr>
      </w:pPr>
    </w:p>
    <w:p w:rsidR="007B3C0B" w:rsidRPr="00162CF3" w:rsidRDefault="007B3C0B" w:rsidP="00CE7094">
      <w:pPr>
        <w:pStyle w:val="ListParagraph"/>
        <w:spacing w:before="240"/>
        <w:ind w:left="0"/>
        <w:rPr>
          <w:i/>
          <w:szCs w:val="24"/>
        </w:rPr>
      </w:pPr>
      <w:r>
        <w:rPr>
          <w:szCs w:val="24"/>
        </w:rPr>
        <w:t>Zuo T, Lu X-J, Zhang Y, Cheung CP, Lam S, Zhang F, Tang W, Ching JYL, Zhao R, Chan PKS, Sung JJY, Yu J, Chan FKL, Cao Q, Sheng J-Q, Ng SC. Gut mucosal virome alterations in ulcerative colitis.</w:t>
      </w:r>
      <w:r w:rsidR="00162CF3">
        <w:rPr>
          <w:szCs w:val="24"/>
        </w:rPr>
        <w:t xml:space="preserve"> Gut 2019 </w:t>
      </w:r>
      <w:r w:rsidR="00162CF3">
        <w:rPr>
          <w:b/>
          <w:bCs/>
          <w:szCs w:val="24"/>
        </w:rPr>
        <w:t>68</w:t>
      </w:r>
      <w:r w:rsidR="00162CF3">
        <w:rPr>
          <w:szCs w:val="24"/>
        </w:rPr>
        <w:t xml:space="preserve">: 1069 </w:t>
      </w:r>
      <w:r w:rsidR="00E41F75">
        <w:rPr>
          <w:szCs w:val="24"/>
        </w:rPr>
        <w:t>–</w:t>
      </w:r>
      <w:r w:rsidR="00162CF3">
        <w:rPr>
          <w:szCs w:val="24"/>
        </w:rPr>
        <w:t xml:space="preserve"> 1079</w:t>
      </w:r>
      <w:r w:rsidR="00E41F75">
        <w:rPr>
          <w:szCs w:val="24"/>
        </w:rPr>
        <w:t>.</w:t>
      </w:r>
    </w:p>
    <w:p w:rsidR="00085976" w:rsidRPr="00F94FA9" w:rsidRDefault="00085976">
      <w:r w:rsidRPr="00F94FA9">
        <w:br w:type="page"/>
      </w:r>
    </w:p>
    <w:p w:rsidR="00DD19CC" w:rsidRPr="00F94FA9" w:rsidRDefault="00DD19CC" w:rsidP="00D910FC">
      <w:pPr>
        <w:spacing w:before="240"/>
      </w:pPr>
    </w:p>
    <w:p w:rsidR="00AD6B86" w:rsidRDefault="00AD6B86" w:rsidP="00D910FC">
      <w:pPr>
        <w:rPr>
          <w:b/>
          <w:szCs w:val="24"/>
        </w:rPr>
      </w:pPr>
      <w:bookmarkStart w:id="18" w:name="_Hlk31814045"/>
      <w:r w:rsidRPr="00F94FA9">
        <w:rPr>
          <w:b/>
          <w:szCs w:val="24"/>
        </w:rPr>
        <w:t>Appendix 1</w:t>
      </w:r>
    </w:p>
    <w:p w:rsidR="00D910FC" w:rsidRPr="00F94FA9" w:rsidRDefault="00806B06" w:rsidP="00D910FC">
      <w:pPr>
        <w:rPr>
          <w:szCs w:val="24"/>
          <w:u w:val="single"/>
        </w:rPr>
      </w:pPr>
      <w:r>
        <w:rPr>
          <w:szCs w:val="24"/>
          <w:u w:val="single"/>
        </w:rPr>
        <w:t>Se</w:t>
      </w:r>
      <w:r w:rsidR="002B6052" w:rsidRPr="00F94FA9">
        <w:rPr>
          <w:szCs w:val="24"/>
          <w:u w:val="single"/>
        </w:rPr>
        <w:t>arch terms in PubMed</w:t>
      </w:r>
    </w:p>
    <w:p w:rsidR="002B6052" w:rsidRPr="00F94FA9" w:rsidRDefault="002B6052" w:rsidP="00D910FC">
      <w:pPr>
        <w:rPr>
          <w:szCs w:val="24"/>
        </w:rPr>
      </w:pPr>
    </w:p>
    <w:p w:rsidR="002B6052" w:rsidRPr="00F94FA9" w:rsidRDefault="002B6052" w:rsidP="00D910FC">
      <w:pPr>
        <w:rPr>
          <w:szCs w:val="24"/>
        </w:rPr>
      </w:pPr>
      <w:r w:rsidRPr="00F94FA9">
        <w:rPr>
          <w:szCs w:val="24"/>
        </w:rPr>
        <w:t xml:space="preserve">The search terms used </w:t>
      </w:r>
      <w:r w:rsidR="00F23BDC" w:rsidRPr="00F94FA9">
        <w:rPr>
          <w:szCs w:val="24"/>
        </w:rPr>
        <w:t>for</w:t>
      </w:r>
      <w:r w:rsidRPr="00F94FA9">
        <w:rPr>
          <w:szCs w:val="24"/>
        </w:rPr>
        <w:t xml:space="preserve"> this paper were largely of the format:</w:t>
      </w:r>
    </w:p>
    <w:p w:rsidR="002B6052" w:rsidRPr="00F94FA9" w:rsidRDefault="002B6052" w:rsidP="00D910FC">
      <w:pPr>
        <w:rPr>
          <w:szCs w:val="24"/>
        </w:rPr>
      </w:pPr>
    </w:p>
    <w:p w:rsidR="002B6052" w:rsidRPr="00F94FA9" w:rsidRDefault="002B6052" w:rsidP="00D910FC">
      <w:pPr>
        <w:rPr>
          <w:szCs w:val="24"/>
        </w:rPr>
      </w:pPr>
      <w:r w:rsidRPr="00F94FA9">
        <w:rPr>
          <w:szCs w:val="24"/>
        </w:rPr>
        <w:t>M</w:t>
      </w:r>
      <w:r w:rsidR="00FD1843" w:rsidRPr="00F94FA9">
        <w:rPr>
          <w:szCs w:val="24"/>
        </w:rPr>
        <w:t>i</w:t>
      </w:r>
      <w:r w:rsidRPr="00F94FA9">
        <w:rPr>
          <w:szCs w:val="24"/>
        </w:rPr>
        <w:t>crobiome OR microbiota AND “X” and</w:t>
      </w:r>
      <w:r w:rsidR="00A76EBB" w:rsidRPr="00F94FA9">
        <w:rPr>
          <w:szCs w:val="24"/>
        </w:rPr>
        <w:t xml:space="preserve"> </w:t>
      </w:r>
      <w:r w:rsidR="001427B7">
        <w:rPr>
          <w:szCs w:val="24"/>
        </w:rPr>
        <w:t xml:space="preserve">human AND </w:t>
      </w:r>
      <w:r w:rsidR="00A76EBB" w:rsidRPr="00F94FA9">
        <w:rPr>
          <w:szCs w:val="24"/>
        </w:rPr>
        <w:t xml:space="preserve">toxicity AND </w:t>
      </w:r>
      <w:r w:rsidRPr="00F94FA9">
        <w:rPr>
          <w:szCs w:val="24"/>
        </w:rPr>
        <w:t>gut, where “X” was:</w:t>
      </w:r>
    </w:p>
    <w:p w:rsidR="002B6052" w:rsidRPr="00F94FA9" w:rsidRDefault="002B6052" w:rsidP="00D910FC">
      <w:pPr>
        <w:rPr>
          <w:szCs w:val="24"/>
        </w:rPr>
      </w:pPr>
      <w:r w:rsidRPr="00F94FA9">
        <w:rPr>
          <w:szCs w:val="24"/>
        </w:rPr>
        <w:t>Heavy metal</w:t>
      </w:r>
      <w:r w:rsidR="00552C6F" w:rsidRPr="00F94FA9">
        <w:rPr>
          <w:szCs w:val="24"/>
        </w:rPr>
        <w:tab/>
      </w:r>
      <w:r w:rsidR="00552C6F" w:rsidRPr="00F94FA9">
        <w:rPr>
          <w:szCs w:val="24"/>
        </w:rPr>
        <w:tab/>
      </w:r>
      <w:r w:rsidR="00552C6F" w:rsidRPr="00F94FA9">
        <w:rPr>
          <w:szCs w:val="24"/>
        </w:rPr>
        <w:tab/>
      </w:r>
      <w:r w:rsidR="00552C6F" w:rsidRPr="00F94FA9">
        <w:rPr>
          <w:szCs w:val="24"/>
        </w:rPr>
        <w:tab/>
        <w:t>Dysbiosis</w:t>
      </w:r>
    </w:p>
    <w:p w:rsidR="002B6052" w:rsidRPr="00F94FA9" w:rsidRDefault="002B6052" w:rsidP="00D910FC">
      <w:pPr>
        <w:rPr>
          <w:szCs w:val="24"/>
        </w:rPr>
      </w:pPr>
      <w:r w:rsidRPr="00F94FA9">
        <w:rPr>
          <w:szCs w:val="24"/>
        </w:rPr>
        <w:t>Insecticide</w:t>
      </w:r>
      <w:r w:rsidR="00552C6F" w:rsidRPr="00F94FA9">
        <w:rPr>
          <w:szCs w:val="24"/>
        </w:rPr>
        <w:tab/>
      </w:r>
      <w:r w:rsidR="00552C6F" w:rsidRPr="00F94FA9">
        <w:rPr>
          <w:szCs w:val="24"/>
        </w:rPr>
        <w:tab/>
      </w:r>
      <w:r w:rsidR="00552C6F" w:rsidRPr="00F94FA9">
        <w:rPr>
          <w:szCs w:val="24"/>
        </w:rPr>
        <w:tab/>
      </w:r>
      <w:r w:rsidR="00552C6F" w:rsidRPr="00F94FA9">
        <w:rPr>
          <w:szCs w:val="24"/>
        </w:rPr>
        <w:tab/>
        <w:t>Sweeteners</w:t>
      </w:r>
    </w:p>
    <w:p w:rsidR="002B6052" w:rsidRPr="00F94FA9" w:rsidRDefault="002B6052" w:rsidP="00D910FC">
      <w:pPr>
        <w:rPr>
          <w:szCs w:val="24"/>
        </w:rPr>
      </w:pPr>
      <w:r w:rsidRPr="00F94FA9">
        <w:rPr>
          <w:szCs w:val="24"/>
        </w:rPr>
        <w:t xml:space="preserve">Herbicide, </w:t>
      </w:r>
      <w:r w:rsidR="00552C6F" w:rsidRPr="00F94FA9">
        <w:rPr>
          <w:szCs w:val="24"/>
        </w:rPr>
        <w:tab/>
      </w:r>
      <w:r w:rsidR="00552C6F" w:rsidRPr="00F94FA9">
        <w:rPr>
          <w:szCs w:val="24"/>
        </w:rPr>
        <w:tab/>
      </w:r>
      <w:r w:rsidR="00552C6F" w:rsidRPr="00F94FA9">
        <w:rPr>
          <w:szCs w:val="24"/>
        </w:rPr>
        <w:tab/>
      </w:r>
      <w:r w:rsidR="00552C6F" w:rsidRPr="00F94FA9">
        <w:rPr>
          <w:szCs w:val="24"/>
        </w:rPr>
        <w:tab/>
        <w:t>Bisphenol A</w:t>
      </w:r>
    </w:p>
    <w:p w:rsidR="002B6052" w:rsidRPr="00F94FA9" w:rsidRDefault="002B6052" w:rsidP="00D910FC">
      <w:pPr>
        <w:rPr>
          <w:szCs w:val="24"/>
        </w:rPr>
      </w:pPr>
      <w:r w:rsidRPr="00F94FA9">
        <w:rPr>
          <w:szCs w:val="24"/>
        </w:rPr>
        <w:t>Xenobiotic,</w:t>
      </w:r>
      <w:r w:rsidR="00552C6F" w:rsidRPr="00F94FA9">
        <w:rPr>
          <w:szCs w:val="24"/>
        </w:rPr>
        <w:tab/>
      </w:r>
      <w:r w:rsidR="00552C6F" w:rsidRPr="00F94FA9">
        <w:rPr>
          <w:szCs w:val="24"/>
        </w:rPr>
        <w:tab/>
      </w:r>
      <w:r w:rsidR="00552C6F" w:rsidRPr="00F94FA9">
        <w:rPr>
          <w:szCs w:val="24"/>
        </w:rPr>
        <w:tab/>
      </w:r>
      <w:r w:rsidR="00552C6F" w:rsidRPr="00F94FA9">
        <w:rPr>
          <w:szCs w:val="24"/>
        </w:rPr>
        <w:tab/>
        <w:t>Chlorpyrifos</w:t>
      </w:r>
    </w:p>
    <w:p w:rsidR="002B6052" w:rsidRPr="00F94FA9" w:rsidRDefault="002B6052" w:rsidP="00D910FC">
      <w:pPr>
        <w:rPr>
          <w:szCs w:val="24"/>
        </w:rPr>
      </w:pPr>
      <w:r w:rsidRPr="00F94FA9">
        <w:rPr>
          <w:szCs w:val="24"/>
        </w:rPr>
        <w:t>Pyrethroid</w:t>
      </w:r>
      <w:r w:rsidR="00552C6F" w:rsidRPr="00F94FA9">
        <w:rPr>
          <w:szCs w:val="24"/>
        </w:rPr>
        <w:tab/>
      </w:r>
      <w:r w:rsidR="00552C6F" w:rsidRPr="00F94FA9">
        <w:rPr>
          <w:szCs w:val="24"/>
        </w:rPr>
        <w:tab/>
      </w:r>
      <w:r w:rsidR="00552C6F" w:rsidRPr="00F94FA9">
        <w:rPr>
          <w:szCs w:val="24"/>
        </w:rPr>
        <w:tab/>
      </w:r>
      <w:r w:rsidR="00552C6F" w:rsidRPr="00F94FA9">
        <w:rPr>
          <w:szCs w:val="24"/>
        </w:rPr>
        <w:tab/>
        <w:t>Gold</w:t>
      </w:r>
    </w:p>
    <w:p w:rsidR="002B6052" w:rsidRPr="00F94FA9" w:rsidRDefault="002B6052" w:rsidP="00D910FC">
      <w:pPr>
        <w:rPr>
          <w:szCs w:val="24"/>
        </w:rPr>
      </w:pPr>
      <w:r w:rsidRPr="00F94FA9">
        <w:rPr>
          <w:szCs w:val="24"/>
        </w:rPr>
        <w:t>Organophosphate</w:t>
      </w:r>
      <w:r w:rsidR="00552C6F" w:rsidRPr="00F94FA9">
        <w:rPr>
          <w:szCs w:val="24"/>
        </w:rPr>
        <w:tab/>
      </w:r>
      <w:r w:rsidR="00552C6F" w:rsidRPr="00F94FA9">
        <w:rPr>
          <w:szCs w:val="24"/>
        </w:rPr>
        <w:tab/>
      </w:r>
      <w:r w:rsidR="00552C6F" w:rsidRPr="00F94FA9">
        <w:rPr>
          <w:szCs w:val="24"/>
        </w:rPr>
        <w:tab/>
        <w:t>Tin</w:t>
      </w:r>
    </w:p>
    <w:p w:rsidR="002B6052" w:rsidRPr="00F94FA9" w:rsidRDefault="002B6052" w:rsidP="00D910FC">
      <w:pPr>
        <w:rPr>
          <w:szCs w:val="24"/>
        </w:rPr>
      </w:pPr>
      <w:r w:rsidRPr="00F94FA9">
        <w:rPr>
          <w:szCs w:val="24"/>
        </w:rPr>
        <w:t>DDT</w:t>
      </w:r>
      <w:r w:rsidR="00552C6F" w:rsidRPr="00F94FA9">
        <w:rPr>
          <w:szCs w:val="24"/>
        </w:rPr>
        <w:tab/>
      </w:r>
      <w:r w:rsidR="00552C6F" w:rsidRPr="00F94FA9">
        <w:rPr>
          <w:szCs w:val="24"/>
        </w:rPr>
        <w:tab/>
      </w:r>
      <w:r w:rsidR="00552C6F" w:rsidRPr="00F94FA9">
        <w:rPr>
          <w:szCs w:val="24"/>
        </w:rPr>
        <w:tab/>
      </w:r>
      <w:r w:rsidR="00552C6F" w:rsidRPr="00F94FA9">
        <w:rPr>
          <w:szCs w:val="24"/>
        </w:rPr>
        <w:tab/>
      </w:r>
      <w:r w:rsidR="00552C6F" w:rsidRPr="00F94FA9">
        <w:rPr>
          <w:szCs w:val="24"/>
        </w:rPr>
        <w:tab/>
        <w:t>Mercury</w:t>
      </w:r>
    </w:p>
    <w:p w:rsidR="002B6052" w:rsidRPr="00F94FA9" w:rsidRDefault="002B6052" w:rsidP="00D910FC">
      <w:pPr>
        <w:rPr>
          <w:szCs w:val="24"/>
        </w:rPr>
      </w:pPr>
      <w:r w:rsidRPr="00F94FA9">
        <w:rPr>
          <w:szCs w:val="24"/>
        </w:rPr>
        <w:t>D</w:t>
      </w:r>
      <w:r w:rsidR="00552C6F" w:rsidRPr="00F94FA9">
        <w:rPr>
          <w:szCs w:val="24"/>
        </w:rPr>
        <w:t>E</w:t>
      </w:r>
      <w:r w:rsidRPr="00F94FA9">
        <w:rPr>
          <w:szCs w:val="24"/>
        </w:rPr>
        <w:t>ET</w:t>
      </w:r>
      <w:r w:rsidR="00552C6F" w:rsidRPr="00F94FA9">
        <w:rPr>
          <w:szCs w:val="24"/>
        </w:rPr>
        <w:tab/>
      </w:r>
      <w:r w:rsidR="00552C6F" w:rsidRPr="00F94FA9">
        <w:rPr>
          <w:szCs w:val="24"/>
        </w:rPr>
        <w:tab/>
      </w:r>
      <w:r w:rsidR="00552C6F" w:rsidRPr="00F94FA9">
        <w:rPr>
          <w:szCs w:val="24"/>
        </w:rPr>
        <w:tab/>
      </w:r>
      <w:r w:rsidR="00552C6F" w:rsidRPr="00F94FA9">
        <w:rPr>
          <w:szCs w:val="24"/>
        </w:rPr>
        <w:tab/>
      </w:r>
      <w:r w:rsidR="00552C6F" w:rsidRPr="00F94FA9">
        <w:rPr>
          <w:szCs w:val="24"/>
        </w:rPr>
        <w:tab/>
        <w:t>Antimony</w:t>
      </w:r>
    </w:p>
    <w:p w:rsidR="002B6052" w:rsidRPr="00F94FA9" w:rsidRDefault="002B6052" w:rsidP="00D910FC">
      <w:pPr>
        <w:rPr>
          <w:szCs w:val="24"/>
        </w:rPr>
      </w:pPr>
      <w:r w:rsidRPr="00F94FA9">
        <w:rPr>
          <w:szCs w:val="24"/>
        </w:rPr>
        <w:t>Glyphosate</w:t>
      </w:r>
      <w:r w:rsidR="00552C6F" w:rsidRPr="00F94FA9">
        <w:rPr>
          <w:szCs w:val="24"/>
        </w:rPr>
        <w:tab/>
      </w:r>
      <w:r w:rsidR="00552C6F" w:rsidRPr="00F94FA9">
        <w:rPr>
          <w:szCs w:val="24"/>
        </w:rPr>
        <w:tab/>
      </w:r>
      <w:r w:rsidR="00552C6F" w:rsidRPr="00F94FA9">
        <w:rPr>
          <w:szCs w:val="24"/>
        </w:rPr>
        <w:tab/>
      </w:r>
      <w:r w:rsidR="00552C6F" w:rsidRPr="00F94FA9">
        <w:rPr>
          <w:szCs w:val="24"/>
        </w:rPr>
        <w:tab/>
        <w:t>Nickel</w:t>
      </w:r>
    </w:p>
    <w:p w:rsidR="002B6052" w:rsidRPr="00F94FA9" w:rsidRDefault="002B6052" w:rsidP="00D910FC">
      <w:pPr>
        <w:rPr>
          <w:szCs w:val="24"/>
        </w:rPr>
      </w:pPr>
      <w:r w:rsidRPr="00F94FA9">
        <w:rPr>
          <w:szCs w:val="24"/>
        </w:rPr>
        <w:t>Food contact materials,</w:t>
      </w:r>
      <w:r w:rsidR="00552C6F" w:rsidRPr="00F94FA9">
        <w:rPr>
          <w:szCs w:val="24"/>
        </w:rPr>
        <w:tab/>
      </w:r>
      <w:r w:rsidR="00552C6F" w:rsidRPr="00F94FA9">
        <w:rPr>
          <w:szCs w:val="24"/>
        </w:rPr>
        <w:tab/>
        <w:t>Silver</w:t>
      </w:r>
    </w:p>
    <w:p w:rsidR="002B6052" w:rsidRPr="00F94FA9" w:rsidRDefault="002B6052" w:rsidP="00D910FC">
      <w:pPr>
        <w:rPr>
          <w:szCs w:val="24"/>
        </w:rPr>
      </w:pPr>
      <w:r w:rsidRPr="00F94FA9">
        <w:rPr>
          <w:szCs w:val="24"/>
        </w:rPr>
        <w:t>Polyamines</w:t>
      </w:r>
      <w:r w:rsidR="00552C6F" w:rsidRPr="00F94FA9">
        <w:rPr>
          <w:szCs w:val="24"/>
        </w:rPr>
        <w:tab/>
      </w:r>
      <w:r w:rsidR="00552C6F" w:rsidRPr="00F94FA9">
        <w:rPr>
          <w:szCs w:val="24"/>
        </w:rPr>
        <w:tab/>
      </w:r>
      <w:r w:rsidR="00552C6F" w:rsidRPr="00F94FA9">
        <w:rPr>
          <w:szCs w:val="24"/>
        </w:rPr>
        <w:tab/>
      </w:r>
      <w:r w:rsidR="00552C6F" w:rsidRPr="00F94FA9">
        <w:rPr>
          <w:szCs w:val="24"/>
        </w:rPr>
        <w:tab/>
        <w:t>Titanium</w:t>
      </w:r>
    </w:p>
    <w:p w:rsidR="00552C6F" w:rsidRPr="00F94FA9" w:rsidRDefault="002B6052" w:rsidP="00D910FC">
      <w:pPr>
        <w:rPr>
          <w:szCs w:val="24"/>
        </w:rPr>
      </w:pPr>
      <w:r w:rsidRPr="00F94FA9">
        <w:rPr>
          <w:szCs w:val="24"/>
        </w:rPr>
        <w:t>Drug metabolism</w:t>
      </w:r>
      <w:r w:rsidR="00552C6F" w:rsidRPr="00F94FA9">
        <w:rPr>
          <w:szCs w:val="24"/>
        </w:rPr>
        <w:tab/>
      </w:r>
      <w:r w:rsidR="00552C6F" w:rsidRPr="00F94FA9">
        <w:rPr>
          <w:szCs w:val="24"/>
        </w:rPr>
        <w:tab/>
      </w:r>
      <w:r w:rsidR="00552C6F" w:rsidRPr="00F94FA9">
        <w:rPr>
          <w:szCs w:val="24"/>
        </w:rPr>
        <w:tab/>
        <w:t>PAHs</w:t>
      </w:r>
    </w:p>
    <w:p w:rsidR="006573C0" w:rsidRPr="00F94FA9" w:rsidRDefault="002B6052" w:rsidP="00D910FC">
      <w:pPr>
        <w:rPr>
          <w:szCs w:val="24"/>
        </w:rPr>
      </w:pPr>
      <w:r w:rsidRPr="00F94FA9">
        <w:rPr>
          <w:szCs w:val="24"/>
        </w:rPr>
        <w:t>Food additive</w:t>
      </w:r>
      <w:r w:rsidR="00552C6F" w:rsidRPr="00F94FA9">
        <w:rPr>
          <w:szCs w:val="24"/>
        </w:rPr>
        <w:tab/>
      </w:r>
      <w:r w:rsidR="00552C6F" w:rsidRPr="00F94FA9">
        <w:rPr>
          <w:szCs w:val="24"/>
        </w:rPr>
        <w:tab/>
      </w:r>
      <w:r w:rsidR="00552C6F" w:rsidRPr="00F94FA9">
        <w:rPr>
          <w:szCs w:val="24"/>
        </w:rPr>
        <w:tab/>
        <w:t>Emulsifiers</w:t>
      </w:r>
    </w:p>
    <w:p w:rsidR="006573C0" w:rsidRPr="00F94FA9" w:rsidRDefault="002B6052" w:rsidP="006573C0">
      <w:pPr>
        <w:rPr>
          <w:szCs w:val="24"/>
        </w:rPr>
      </w:pPr>
      <w:r w:rsidRPr="00F94FA9">
        <w:rPr>
          <w:szCs w:val="24"/>
        </w:rPr>
        <w:t>Antibiotics</w:t>
      </w:r>
      <w:r w:rsidR="00552C6F" w:rsidRPr="00F94FA9">
        <w:rPr>
          <w:szCs w:val="24"/>
        </w:rPr>
        <w:tab/>
      </w:r>
      <w:r w:rsidR="00552C6F" w:rsidRPr="00F94FA9">
        <w:rPr>
          <w:szCs w:val="24"/>
        </w:rPr>
        <w:tab/>
        <w:t xml:space="preserve"> </w:t>
      </w:r>
      <w:r w:rsidR="006573C0" w:rsidRPr="00F94FA9">
        <w:rPr>
          <w:szCs w:val="24"/>
        </w:rPr>
        <w:tab/>
      </w:r>
      <w:r w:rsidR="006573C0" w:rsidRPr="00F94FA9">
        <w:rPr>
          <w:szCs w:val="24"/>
        </w:rPr>
        <w:tab/>
        <w:t>Probiotic</w:t>
      </w:r>
    </w:p>
    <w:p w:rsidR="002B6052" w:rsidRPr="00F94FA9" w:rsidRDefault="002B6052" w:rsidP="00D910FC">
      <w:pPr>
        <w:rPr>
          <w:szCs w:val="24"/>
        </w:rPr>
      </w:pPr>
      <w:r w:rsidRPr="00F94FA9">
        <w:rPr>
          <w:szCs w:val="24"/>
        </w:rPr>
        <w:t>Alcohol</w:t>
      </w:r>
      <w:r w:rsidR="006573C0" w:rsidRPr="00F94FA9">
        <w:rPr>
          <w:szCs w:val="24"/>
        </w:rPr>
        <w:tab/>
      </w:r>
      <w:r w:rsidR="006573C0" w:rsidRPr="00F94FA9">
        <w:rPr>
          <w:szCs w:val="24"/>
        </w:rPr>
        <w:tab/>
      </w:r>
      <w:r w:rsidR="006573C0" w:rsidRPr="00F94FA9">
        <w:rPr>
          <w:szCs w:val="24"/>
        </w:rPr>
        <w:tab/>
      </w:r>
      <w:r w:rsidR="006573C0" w:rsidRPr="00F94FA9">
        <w:rPr>
          <w:szCs w:val="24"/>
        </w:rPr>
        <w:tab/>
        <w:t>Prebiotic</w:t>
      </w:r>
      <w:r w:rsidR="00552C6F" w:rsidRPr="00F94FA9">
        <w:rPr>
          <w:szCs w:val="24"/>
        </w:rPr>
        <w:tab/>
      </w:r>
      <w:r w:rsidR="00552C6F" w:rsidRPr="00F94FA9">
        <w:rPr>
          <w:szCs w:val="24"/>
        </w:rPr>
        <w:tab/>
      </w:r>
    </w:p>
    <w:p w:rsidR="002B6052" w:rsidRPr="00F94FA9" w:rsidRDefault="002B6052" w:rsidP="00D910FC">
      <w:pPr>
        <w:rPr>
          <w:szCs w:val="24"/>
        </w:rPr>
      </w:pPr>
      <w:r w:rsidRPr="00F94FA9">
        <w:rPr>
          <w:szCs w:val="24"/>
        </w:rPr>
        <w:t>Function</w:t>
      </w:r>
    </w:p>
    <w:p w:rsidR="002B6052" w:rsidRPr="00F94FA9" w:rsidRDefault="002B6052" w:rsidP="00D910FC">
      <w:pPr>
        <w:rPr>
          <w:szCs w:val="24"/>
        </w:rPr>
      </w:pPr>
      <w:r w:rsidRPr="00F94FA9">
        <w:rPr>
          <w:szCs w:val="24"/>
        </w:rPr>
        <w:t>Composition</w:t>
      </w:r>
    </w:p>
    <w:p w:rsidR="002B6052" w:rsidRPr="00F94FA9" w:rsidRDefault="002B6052" w:rsidP="00D910FC">
      <w:pPr>
        <w:rPr>
          <w:szCs w:val="24"/>
        </w:rPr>
      </w:pPr>
      <w:r w:rsidRPr="00F94FA9">
        <w:rPr>
          <w:szCs w:val="24"/>
        </w:rPr>
        <w:t>Coccidiostat</w:t>
      </w:r>
      <w:r w:rsidR="006573C0" w:rsidRPr="00F94FA9">
        <w:rPr>
          <w:szCs w:val="24"/>
        </w:rPr>
        <w:tab/>
      </w:r>
      <w:r w:rsidR="006573C0" w:rsidRPr="00F94FA9">
        <w:rPr>
          <w:szCs w:val="24"/>
        </w:rPr>
        <w:tab/>
        <w:t>Some references were found in the reference lists of papers</w:t>
      </w:r>
    </w:p>
    <w:p w:rsidR="002B6052" w:rsidRPr="00F94FA9" w:rsidRDefault="002B6052" w:rsidP="00D910FC">
      <w:pPr>
        <w:rPr>
          <w:szCs w:val="24"/>
        </w:rPr>
      </w:pPr>
      <w:r w:rsidRPr="00F94FA9">
        <w:rPr>
          <w:szCs w:val="24"/>
        </w:rPr>
        <w:t>Fungicide</w:t>
      </w:r>
      <w:r w:rsidR="006573C0" w:rsidRPr="00F94FA9">
        <w:rPr>
          <w:szCs w:val="24"/>
        </w:rPr>
        <w:tab/>
      </w:r>
      <w:r w:rsidR="006573C0" w:rsidRPr="00F94FA9">
        <w:rPr>
          <w:szCs w:val="24"/>
        </w:rPr>
        <w:tab/>
        <w:t>acquired in the PubMed searches.</w:t>
      </w:r>
    </w:p>
    <w:p w:rsidR="002B6052" w:rsidRPr="00F94FA9" w:rsidRDefault="002B6052" w:rsidP="00D910FC">
      <w:pPr>
        <w:rPr>
          <w:szCs w:val="24"/>
        </w:rPr>
      </w:pPr>
      <w:r w:rsidRPr="00F94FA9">
        <w:rPr>
          <w:szCs w:val="24"/>
        </w:rPr>
        <w:t>Aldrin</w:t>
      </w:r>
    </w:p>
    <w:p w:rsidR="002B6052" w:rsidRPr="00F94FA9" w:rsidRDefault="002B6052" w:rsidP="00D910FC">
      <w:pPr>
        <w:rPr>
          <w:szCs w:val="24"/>
        </w:rPr>
      </w:pPr>
      <w:r w:rsidRPr="00F94FA9">
        <w:rPr>
          <w:szCs w:val="24"/>
        </w:rPr>
        <w:t>Dieldrin</w:t>
      </w:r>
    </w:p>
    <w:p w:rsidR="00552C6F" w:rsidRPr="00F94FA9" w:rsidRDefault="002B6052" w:rsidP="00D910FC">
      <w:pPr>
        <w:rPr>
          <w:szCs w:val="24"/>
        </w:rPr>
      </w:pPr>
      <w:r w:rsidRPr="00F94FA9">
        <w:rPr>
          <w:szCs w:val="24"/>
        </w:rPr>
        <w:t>Flame retardant</w:t>
      </w:r>
    </w:p>
    <w:p w:rsidR="002B6052" w:rsidRDefault="002B6052" w:rsidP="00D910FC">
      <w:pPr>
        <w:rPr>
          <w:szCs w:val="24"/>
        </w:rPr>
      </w:pPr>
      <w:r w:rsidRPr="00F94FA9">
        <w:rPr>
          <w:szCs w:val="24"/>
        </w:rPr>
        <w:t>Metabolite</w:t>
      </w:r>
    </w:p>
    <w:p w:rsidR="00806B06" w:rsidRDefault="00806B06" w:rsidP="00D910FC">
      <w:pPr>
        <w:rPr>
          <w:szCs w:val="24"/>
        </w:rPr>
      </w:pPr>
      <w:r>
        <w:rPr>
          <w:szCs w:val="24"/>
        </w:rPr>
        <w:t>Mycobiome</w:t>
      </w:r>
      <w:r w:rsidR="001427B7">
        <w:rPr>
          <w:szCs w:val="24"/>
        </w:rPr>
        <w:t xml:space="preserve"> OR fungi</w:t>
      </w:r>
      <w:r>
        <w:rPr>
          <w:szCs w:val="24"/>
        </w:rPr>
        <w:t xml:space="preserve"> AND</w:t>
      </w:r>
      <w:r w:rsidR="001427B7">
        <w:rPr>
          <w:szCs w:val="24"/>
        </w:rPr>
        <w:t xml:space="preserve"> “X” AND</w:t>
      </w:r>
      <w:r>
        <w:rPr>
          <w:szCs w:val="24"/>
        </w:rPr>
        <w:t xml:space="preserve"> human AND </w:t>
      </w:r>
      <w:r w:rsidR="001427B7">
        <w:rPr>
          <w:szCs w:val="24"/>
        </w:rPr>
        <w:t xml:space="preserve">toxicity AND </w:t>
      </w:r>
      <w:r>
        <w:rPr>
          <w:szCs w:val="24"/>
        </w:rPr>
        <w:t>gut</w:t>
      </w:r>
    </w:p>
    <w:p w:rsidR="00806B06" w:rsidRPr="00F94FA9" w:rsidRDefault="00806B06" w:rsidP="00D910FC">
      <w:pPr>
        <w:rPr>
          <w:szCs w:val="24"/>
        </w:rPr>
      </w:pPr>
      <w:r>
        <w:rPr>
          <w:szCs w:val="24"/>
        </w:rPr>
        <w:t xml:space="preserve">Virome </w:t>
      </w:r>
      <w:r w:rsidR="001427B7">
        <w:rPr>
          <w:szCs w:val="24"/>
        </w:rPr>
        <w:t xml:space="preserve">OR viruses </w:t>
      </w:r>
      <w:r>
        <w:rPr>
          <w:szCs w:val="24"/>
        </w:rPr>
        <w:t>AND</w:t>
      </w:r>
      <w:r w:rsidR="001427B7">
        <w:rPr>
          <w:szCs w:val="24"/>
        </w:rPr>
        <w:t xml:space="preserve"> “X” AND</w:t>
      </w:r>
      <w:r>
        <w:rPr>
          <w:szCs w:val="24"/>
        </w:rPr>
        <w:t xml:space="preserve"> human AND </w:t>
      </w:r>
      <w:r w:rsidR="001427B7">
        <w:rPr>
          <w:szCs w:val="24"/>
        </w:rPr>
        <w:t xml:space="preserve">toxicity AND </w:t>
      </w:r>
      <w:r>
        <w:rPr>
          <w:szCs w:val="24"/>
        </w:rPr>
        <w:t>gut</w:t>
      </w:r>
    </w:p>
    <w:bookmarkEnd w:id="18"/>
    <w:p w:rsidR="00A81892" w:rsidRDefault="00A81892">
      <w:pPr>
        <w:rPr>
          <w:b/>
          <w:szCs w:val="24"/>
        </w:rPr>
      </w:pPr>
      <w:r>
        <w:rPr>
          <w:b/>
          <w:szCs w:val="24"/>
        </w:rPr>
        <w:br w:type="page"/>
      </w:r>
    </w:p>
    <w:p w:rsidR="00AD6B86" w:rsidRPr="00F94FA9" w:rsidRDefault="00AD6B86" w:rsidP="00D910FC">
      <w:pPr>
        <w:rPr>
          <w:b/>
          <w:szCs w:val="24"/>
        </w:rPr>
      </w:pPr>
      <w:r w:rsidRPr="00F94FA9">
        <w:rPr>
          <w:b/>
          <w:szCs w:val="24"/>
        </w:rPr>
        <w:t>Appendix 2</w:t>
      </w:r>
    </w:p>
    <w:p w:rsidR="0056183F" w:rsidRPr="00F94FA9" w:rsidRDefault="004F1595" w:rsidP="0056183F">
      <w:pPr>
        <w:rPr>
          <w:szCs w:val="24"/>
          <w:u w:val="single"/>
        </w:rPr>
      </w:pPr>
      <w:r w:rsidRPr="00F94FA9">
        <w:rPr>
          <w:szCs w:val="24"/>
          <w:u w:val="single"/>
        </w:rPr>
        <w:t>Abbreviations</w:t>
      </w:r>
    </w:p>
    <w:p w:rsidR="00475818" w:rsidRPr="00F94FA9" w:rsidRDefault="0056183F" w:rsidP="006C0F94">
      <w:pPr>
        <w:spacing w:line="240" w:lineRule="auto"/>
        <w:contextualSpacing/>
        <w:mirrorIndents/>
        <w:rPr>
          <w:szCs w:val="24"/>
        </w:rPr>
      </w:pPr>
      <w:r w:rsidRPr="00F94FA9">
        <w:rPr>
          <w:szCs w:val="24"/>
        </w:rPr>
        <w:t xml:space="preserve"> 5HT</w:t>
      </w:r>
      <w:r w:rsidRPr="00F94FA9">
        <w:rPr>
          <w:szCs w:val="24"/>
        </w:rPr>
        <w:tab/>
      </w:r>
      <w:r w:rsidRPr="00F94FA9">
        <w:rPr>
          <w:szCs w:val="24"/>
        </w:rPr>
        <w:tab/>
        <w:t>5-hydroxytryptamine, serotonin</w:t>
      </w:r>
    </w:p>
    <w:p w:rsidR="001D3953" w:rsidRPr="00F94FA9" w:rsidRDefault="00C72B13" w:rsidP="006C0F94">
      <w:pPr>
        <w:spacing w:line="240" w:lineRule="auto"/>
        <w:contextualSpacing/>
        <w:mirrorIndents/>
        <w:rPr>
          <w:szCs w:val="24"/>
        </w:rPr>
      </w:pPr>
      <w:r w:rsidRPr="00F94FA9">
        <w:rPr>
          <w:szCs w:val="24"/>
        </w:rPr>
        <w:t>ABC</w:t>
      </w:r>
      <w:r w:rsidRPr="00F94FA9">
        <w:rPr>
          <w:szCs w:val="24"/>
        </w:rPr>
        <w:tab/>
      </w:r>
      <w:r w:rsidRPr="00F94FA9">
        <w:rPr>
          <w:szCs w:val="24"/>
        </w:rPr>
        <w:tab/>
        <w:t>ATP-Binding-Cassette trans-membrane transport protein</w:t>
      </w:r>
    </w:p>
    <w:p w:rsidR="0056183F" w:rsidRPr="00F94FA9" w:rsidRDefault="001D3953" w:rsidP="006C0F94">
      <w:pPr>
        <w:spacing w:line="240" w:lineRule="auto"/>
        <w:contextualSpacing/>
        <w:mirrorIndents/>
        <w:rPr>
          <w:szCs w:val="24"/>
        </w:rPr>
      </w:pPr>
      <w:r w:rsidRPr="00F94FA9">
        <w:rPr>
          <w:szCs w:val="24"/>
        </w:rPr>
        <w:t>ACh</w:t>
      </w:r>
      <w:r w:rsidRPr="00F94FA9">
        <w:rPr>
          <w:szCs w:val="24"/>
        </w:rPr>
        <w:tab/>
      </w:r>
      <w:r w:rsidRPr="00F94FA9">
        <w:rPr>
          <w:szCs w:val="24"/>
        </w:rPr>
        <w:tab/>
        <w:t>Acetylcholine</w:t>
      </w:r>
      <w:r w:rsidR="0056183F" w:rsidRPr="00F94FA9">
        <w:rPr>
          <w:szCs w:val="24"/>
        </w:rPr>
        <w:tab/>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AChE</w:t>
      </w:r>
      <w:r w:rsidRPr="00F94FA9">
        <w:rPr>
          <w:szCs w:val="24"/>
        </w:rPr>
        <w:tab/>
      </w:r>
      <w:r w:rsidRPr="00F94FA9">
        <w:rPr>
          <w:szCs w:val="24"/>
        </w:rPr>
        <w:tab/>
        <w:t>Acetylcholinesterase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ADI</w:t>
      </w:r>
      <w:r w:rsidRPr="00F94FA9">
        <w:rPr>
          <w:szCs w:val="24"/>
        </w:rPr>
        <w:tab/>
      </w:r>
      <w:r w:rsidRPr="00F94FA9">
        <w:rPr>
          <w:szCs w:val="24"/>
        </w:rPr>
        <w:tab/>
        <w:t>Acceptable daily intake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AFB1</w:t>
      </w:r>
      <w:r w:rsidRPr="00F94FA9">
        <w:rPr>
          <w:szCs w:val="24"/>
        </w:rPr>
        <w:tab/>
      </w:r>
      <w:r w:rsidRPr="00F94FA9">
        <w:rPr>
          <w:szCs w:val="24"/>
        </w:rPr>
        <w:tab/>
        <w:t>Aflatoxin B1</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AgNP</w:t>
      </w:r>
      <w:r w:rsidRPr="00F94FA9">
        <w:rPr>
          <w:szCs w:val="24"/>
        </w:rPr>
        <w:tab/>
      </w:r>
      <w:r w:rsidRPr="00F94FA9">
        <w:rPr>
          <w:szCs w:val="24"/>
        </w:rPr>
        <w:tab/>
        <w:t>Silver nanoparticles</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AgOAC</w:t>
      </w:r>
      <w:r w:rsidRPr="00F94FA9">
        <w:rPr>
          <w:szCs w:val="24"/>
        </w:rPr>
        <w:tab/>
        <w:t>Silver acetate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AHR</w:t>
      </w:r>
      <w:r w:rsidRPr="00F94FA9">
        <w:rPr>
          <w:szCs w:val="24"/>
        </w:rPr>
        <w:tab/>
      </w:r>
      <w:r w:rsidRPr="00F94FA9">
        <w:rPr>
          <w:szCs w:val="24"/>
        </w:rPr>
        <w:tab/>
        <w:t>Aromatic hydrocarbon receptor</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ALT</w:t>
      </w:r>
      <w:r w:rsidRPr="00F94FA9">
        <w:rPr>
          <w:szCs w:val="24"/>
        </w:rPr>
        <w:tab/>
      </w:r>
      <w:r w:rsidRPr="00F94FA9">
        <w:rPr>
          <w:szCs w:val="24"/>
        </w:rPr>
        <w:tab/>
        <w:t>Alanine aminotransferase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AMR</w:t>
      </w:r>
      <w:r w:rsidRPr="00F94FA9">
        <w:rPr>
          <w:szCs w:val="24"/>
        </w:rPr>
        <w:tab/>
      </w:r>
      <w:r w:rsidRPr="00F94FA9">
        <w:rPr>
          <w:szCs w:val="24"/>
        </w:rPr>
        <w:tab/>
        <w:t>Antimicrobial resistance</w:t>
      </w:r>
      <w:r w:rsidRPr="00F94FA9">
        <w:rPr>
          <w:szCs w:val="24"/>
        </w:rPr>
        <w:tab/>
      </w:r>
      <w:r w:rsidRPr="00F94FA9">
        <w:rPr>
          <w:szCs w:val="24"/>
        </w:rPr>
        <w:tab/>
      </w:r>
      <w:r w:rsidRPr="00F94FA9">
        <w:rPr>
          <w:szCs w:val="24"/>
        </w:rPr>
        <w:tab/>
      </w:r>
    </w:p>
    <w:p w:rsidR="00C72B13" w:rsidRPr="00F94FA9" w:rsidRDefault="0056183F" w:rsidP="006C0F94">
      <w:pPr>
        <w:spacing w:line="240" w:lineRule="auto"/>
        <w:contextualSpacing/>
        <w:mirrorIndents/>
        <w:rPr>
          <w:szCs w:val="24"/>
        </w:rPr>
      </w:pPr>
      <w:r w:rsidRPr="00F94FA9">
        <w:rPr>
          <w:szCs w:val="24"/>
        </w:rPr>
        <w:t>ARfD</w:t>
      </w:r>
      <w:r w:rsidRPr="00F94FA9">
        <w:rPr>
          <w:szCs w:val="24"/>
        </w:rPr>
        <w:tab/>
      </w:r>
      <w:r w:rsidRPr="00F94FA9">
        <w:rPr>
          <w:szCs w:val="24"/>
        </w:rPr>
        <w:tab/>
        <w:t>Acute reference dose</w:t>
      </w:r>
    </w:p>
    <w:p w:rsidR="0056183F" w:rsidRPr="00F94FA9" w:rsidRDefault="00C72B13" w:rsidP="006C0F94">
      <w:pPr>
        <w:spacing w:line="240" w:lineRule="auto"/>
        <w:contextualSpacing/>
        <w:mirrorIndents/>
        <w:rPr>
          <w:szCs w:val="24"/>
        </w:rPr>
      </w:pPr>
      <w:r w:rsidRPr="00F94FA9">
        <w:rPr>
          <w:szCs w:val="24"/>
        </w:rPr>
        <w:t>ARG</w:t>
      </w:r>
      <w:r w:rsidRPr="00F94FA9">
        <w:rPr>
          <w:szCs w:val="24"/>
        </w:rPr>
        <w:tab/>
      </w:r>
      <w:r w:rsidRPr="00F94FA9">
        <w:rPr>
          <w:szCs w:val="24"/>
        </w:rPr>
        <w:tab/>
        <w:t>Antimicrobial resistance gene</w:t>
      </w:r>
      <w:r w:rsidR="0056183F" w:rsidRPr="00F94FA9">
        <w:rPr>
          <w:szCs w:val="24"/>
        </w:rPr>
        <w:tab/>
      </w:r>
      <w:r w:rsidR="0056183F" w:rsidRPr="00F94FA9">
        <w:rPr>
          <w:szCs w:val="24"/>
        </w:rPr>
        <w:tab/>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As</w:t>
      </w:r>
      <w:r w:rsidRPr="00F94FA9">
        <w:rPr>
          <w:szCs w:val="24"/>
        </w:rPr>
        <w:tab/>
      </w:r>
      <w:r w:rsidRPr="00F94FA9">
        <w:rPr>
          <w:szCs w:val="24"/>
        </w:rPr>
        <w:tab/>
        <w:t>Arsenic</w:t>
      </w:r>
      <w:r w:rsidRPr="00F94FA9">
        <w:rPr>
          <w:szCs w:val="24"/>
        </w:rPr>
        <w:tab/>
      </w:r>
      <w:r w:rsidRPr="00F94FA9">
        <w:rPr>
          <w:szCs w:val="24"/>
        </w:rPr>
        <w:tab/>
      </w:r>
      <w:r w:rsidRPr="00F94FA9">
        <w:rPr>
          <w:szCs w:val="24"/>
        </w:rPr>
        <w:tab/>
      </w:r>
    </w:p>
    <w:p w:rsidR="00C72B13" w:rsidRPr="00F94FA9" w:rsidRDefault="0056183F" w:rsidP="006C0F94">
      <w:pPr>
        <w:spacing w:line="240" w:lineRule="auto"/>
        <w:contextualSpacing/>
        <w:mirrorIndents/>
        <w:rPr>
          <w:szCs w:val="24"/>
        </w:rPr>
      </w:pPr>
      <w:r w:rsidRPr="00F94FA9">
        <w:rPr>
          <w:szCs w:val="24"/>
        </w:rPr>
        <w:t>AST</w:t>
      </w:r>
      <w:r w:rsidRPr="00F94FA9">
        <w:rPr>
          <w:szCs w:val="24"/>
        </w:rPr>
        <w:tab/>
      </w:r>
      <w:r w:rsidRPr="00F94FA9">
        <w:rPr>
          <w:szCs w:val="24"/>
        </w:rPr>
        <w:tab/>
        <w:t>Aspartate aminotransferase</w:t>
      </w:r>
      <w:r w:rsidRPr="00F94FA9">
        <w:rPr>
          <w:szCs w:val="24"/>
        </w:rPr>
        <w:tab/>
      </w:r>
    </w:p>
    <w:p w:rsidR="0056183F" w:rsidRPr="00F94FA9" w:rsidRDefault="00C72B13" w:rsidP="006C0F94">
      <w:pPr>
        <w:spacing w:line="240" w:lineRule="auto"/>
        <w:contextualSpacing/>
        <w:mirrorIndents/>
        <w:rPr>
          <w:szCs w:val="24"/>
        </w:rPr>
      </w:pPr>
      <w:r w:rsidRPr="00F94FA9">
        <w:rPr>
          <w:szCs w:val="24"/>
        </w:rPr>
        <w:t>ATP</w:t>
      </w:r>
      <w:r w:rsidRPr="00F94FA9">
        <w:rPr>
          <w:szCs w:val="24"/>
        </w:rPr>
        <w:tab/>
      </w:r>
      <w:r w:rsidRPr="00F94FA9">
        <w:rPr>
          <w:szCs w:val="24"/>
        </w:rPr>
        <w:tab/>
        <w:t>Adenosine triphosphate</w:t>
      </w:r>
      <w:r w:rsidR="0056183F" w:rsidRPr="00F94FA9">
        <w:rPr>
          <w:szCs w:val="24"/>
        </w:rPr>
        <w:tab/>
      </w:r>
      <w:r w:rsidR="0056183F" w:rsidRPr="00F94FA9">
        <w:rPr>
          <w:szCs w:val="24"/>
        </w:rPr>
        <w:tab/>
      </w:r>
    </w:p>
    <w:p w:rsidR="00344325" w:rsidRPr="00F94FA9" w:rsidRDefault="0056183F" w:rsidP="006C0F94">
      <w:pPr>
        <w:spacing w:line="240" w:lineRule="auto"/>
        <w:contextualSpacing/>
        <w:mirrorIndents/>
        <w:rPr>
          <w:szCs w:val="24"/>
        </w:rPr>
      </w:pPr>
      <w:r w:rsidRPr="00F94FA9">
        <w:rPr>
          <w:szCs w:val="24"/>
        </w:rPr>
        <w:t>AuN</w:t>
      </w:r>
      <w:r w:rsidR="00D74D84" w:rsidRPr="00F94FA9">
        <w:rPr>
          <w:szCs w:val="24"/>
        </w:rPr>
        <w:t>C</w:t>
      </w:r>
      <w:r w:rsidRPr="00F94FA9">
        <w:rPr>
          <w:szCs w:val="24"/>
        </w:rPr>
        <w:tab/>
      </w:r>
      <w:r w:rsidR="001D3953" w:rsidRPr="00F94FA9">
        <w:rPr>
          <w:szCs w:val="24"/>
        </w:rPr>
        <w:tab/>
      </w:r>
      <w:r w:rsidRPr="00F94FA9">
        <w:rPr>
          <w:szCs w:val="24"/>
        </w:rPr>
        <w:t>Gold nano</w:t>
      </w:r>
      <w:r w:rsidR="00692940" w:rsidRPr="00F94FA9">
        <w:rPr>
          <w:szCs w:val="24"/>
        </w:rPr>
        <w:t>clusters</w:t>
      </w:r>
      <w:r w:rsidRPr="00F94FA9">
        <w:rPr>
          <w:szCs w:val="24"/>
        </w:rPr>
        <w:tab/>
      </w:r>
    </w:p>
    <w:p w:rsidR="0056183F" w:rsidRPr="00F94FA9" w:rsidRDefault="00344325" w:rsidP="006C0F94">
      <w:pPr>
        <w:spacing w:line="240" w:lineRule="auto"/>
        <w:contextualSpacing/>
        <w:mirrorIndents/>
        <w:rPr>
          <w:szCs w:val="24"/>
        </w:rPr>
      </w:pPr>
      <w:r w:rsidRPr="00F94FA9">
        <w:rPr>
          <w:szCs w:val="24"/>
        </w:rPr>
        <w:t>BC</w:t>
      </w:r>
      <w:r w:rsidRPr="00F94FA9">
        <w:rPr>
          <w:szCs w:val="24"/>
        </w:rPr>
        <w:tab/>
      </w:r>
      <w:r w:rsidRPr="00F94FA9">
        <w:rPr>
          <w:szCs w:val="24"/>
        </w:rPr>
        <w:tab/>
      </w:r>
      <w:r w:rsidRPr="00F94FA9">
        <w:rPr>
          <w:i/>
          <w:szCs w:val="24"/>
        </w:rPr>
        <w:t>Bacillus cereus</w:t>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BDE</w:t>
      </w:r>
      <w:r w:rsidRPr="00F94FA9">
        <w:rPr>
          <w:szCs w:val="24"/>
        </w:rPr>
        <w:tab/>
      </w:r>
      <w:r w:rsidRPr="00F94FA9">
        <w:rPr>
          <w:szCs w:val="24"/>
        </w:rPr>
        <w:tab/>
        <w:t>Brominated diphenylether</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BPA</w:t>
      </w:r>
      <w:r w:rsidRPr="00F94FA9">
        <w:rPr>
          <w:szCs w:val="24"/>
        </w:rPr>
        <w:tab/>
      </w:r>
      <w:r w:rsidRPr="00F94FA9">
        <w:rPr>
          <w:szCs w:val="24"/>
        </w:rPr>
        <w:tab/>
        <w:t>Bisphenol A</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BS</w:t>
      </w:r>
      <w:r w:rsidRPr="00F94FA9">
        <w:rPr>
          <w:szCs w:val="24"/>
        </w:rPr>
        <w:tab/>
      </w:r>
      <w:r w:rsidRPr="00F94FA9">
        <w:rPr>
          <w:szCs w:val="24"/>
        </w:rPr>
        <w:tab/>
      </w:r>
      <w:r w:rsidRPr="00F94FA9">
        <w:rPr>
          <w:i/>
          <w:szCs w:val="24"/>
        </w:rPr>
        <w:t>Bacillus subtilis</w:t>
      </w:r>
      <w:r w:rsidRPr="00F94FA9">
        <w:rPr>
          <w:szCs w:val="24"/>
        </w:rPr>
        <w:tab/>
      </w:r>
      <w:r w:rsidRPr="00F94FA9">
        <w:rPr>
          <w:szCs w:val="24"/>
        </w:rPr>
        <w:tab/>
      </w:r>
      <w:r w:rsidRPr="00F94FA9">
        <w:rPr>
          <w:szCs w:val="24"/>
        </w:rPr>
        <w:tab/>
      </w:r>
    </w:p>
    <w:p w:rsidR="00B629C7" w:rsidRPr="00F94FA9" w:rsidRDefault="00B629C7" w:rsidP="006C0F94">
      <w:pPr>
        <w:spacing w:line="240" w:lineRule="auto"/>
        <w:contextualSpacing/>
        <w:mirrorIndents/>
        <w:rPr>
          <w:szCs w:val="24"/>
        </w:rPr>
      </w:pPr>
      <w:r w:rsidRPr="00F94FA9">
        <w:rPr>
          <w:szCs w:val="24"/>
        </w:rPr>
        <w:t>CCAAT</w:t>
      </w:r>
      <w:r w:rsidRPr="00F94FA9">
        <w:rPr>
          <w:szCs w:val="24"/>
        </w:rPr>
        <w:tab/>
        <w:t>A DNA transcription initiation site</w:t>
      </w:r>
    </w:p>
    <w:p w:rsidR="000C798B" w:rsidRPr="00F94FA9" w:rsidRDefault="0056183F" w:rsidP="006C0F94">
      <w:pPr>
        <w:spacing w:line="240" w:lineRule="auto"/>
        <w:contextualSpacing/>
        <w:mirrorIndents/>
        <w:rPr>
          <w:szCs w:val="24"/>
        </w:rPr>
      </w:pPr>
      <w:r w:rsidRPr="00F94FA9">
        <w:rPr>
          <w:szCs w:val="24"/>
        </w:rPr>
        <w:t>Cd</w:t>
      </w:r>
      <w:r w:rsidRPr="00F94FA9">
        <w:rPr>
          <w:szCs w:val="24"/>
        </w:rPr>
        <w:tab/>
      </w:r>
      <w:r w:rsidRPr="00F94FA9">
        <w:rPr>
          <w:szCs w:val="24"/>
        </w:rPr>
        <w:tab/>
        <w:t>Cadmium</w:t>
      </w:r>
      <w:r w:rsidRPr="00F94FA9">
        <w:rPr>
          <w:szCs w:val="24"/>
        </w:rPr>
        <w:tab/>
      </w:r>
    </w:p>
    <w:p w:rsidR="0056183F" w:rsidRPr="00F94FA9" w:rsidRDefault="000C798B" w:rsidP="006C0F94">
      <w:pPr>
        <w:spacing w:line="240" w:lineRule="auto"/>
        <w:contextualSpacing/>
        <w:mirrorIndents/>
        <w:rPr>
          <w:szCs w:val="24"/>
        </w:rPr>
      </w:pPr>
      <w:r w:rsidRPr="00F94FA9">
        <w:rPr>
          <w:szCs w:val="24"/>
        </w:rPr>
        <w:t>C/ERP</w:t>
      </w:r>
      <w:r w:rsidRPr="00F94FA9">
        <w:rPr>
          <w:rFonts w:ascii="Symbol" w:hAnsi="Symbol"/>
          <w:szCs w:val="24"/>
        </w:rPr>
        <w:t></w:t>
      </w:r>
      <w:r w:rsidR="0056183F" w:rsidRPr="00F94FA9">
        <w:rPr>
          <w:szCs w:val="24"/>
        </w:rPr>
        <w:tab/>
      </w:r>
      <w:r w:rsidR="00B629C7" w:rsidRPr="00F94FA9">
        <w:rPr>
          <w:rFonts w:cs="Arial"/>
          <w:bCs/>
          <w:szCs w:val="24"/>
        </w:rPr>
        <w:t>CCAAT/enhancer-binding protein alpha</w:t>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cfu</w:t>
      </w:r>
      <w:r w:rsidRPr="00F94FA9">
        <w:rPr>
          <w:szCs w:val="24"/>
        </w:rPr>
        <w:tab/>
      </w:r>
      <w:r w:rsidRPr="00F94FA9">
        <w:rPr>
          <w:szCs w:val="24"/>
        </w:rPr>
        <w:tab/>
        <w:t>Colony-forming units</w:t>
      </w:r>
      <w:r w:rsidRPr="00F94FA9">
        <w:rPr>
          <w:szCs w:val="24"/>
        </w:rPr>
        <w:tab/>
      </w:r>
      <w:r w:rsidRPr="00F94FA9">
        <w:rPr>
          <w:szCs w:val="24"/>
        </w:rPr>
        <w:tab/>
      </w:r>
      <w:r w:rsidRPr="00F94FA9">
        <w:rPr>
          <w:szCs w:val="24"/>
        </w:rPr>
        <w:tab/>
      </w:r>
    </w:p>
    <w:p w:rsidR="0049551F" w:rsidRPr="00F94FA9" w:rsidRDefault="0049551F" w:rsidP="006C0F94">
      <w:pPr>
        <w:spacing w:line="240" w:lineRule="auto"/>
        <w:contextualSpacing/>
        <w:mirrorIndents/>
        <w:rPr>
          <w:szCs w:val="24"/>
        </w:rPr>
      </w:pPr>
      <w:r w:rsidRPr="00F94FA9">
        <w:rPr>
          <w:szCs w:val="24"/>
        </w:rPr>
        <w:t>CNS</w:t>
      </w:r>
      <w:r w:rsidRPr="00F94FA9">
        <w:rPr>
          <w:szCs w:val="24"/>
        </w:rPr>
        <w:tab/>
      </w:r>
      <w:r w:rsidRPr="00F94FA9">
        <w:rPr>
          <w:szCs w:val="24"/>
        </w:rPr>
        <w:tab/>
        <w:t>Central nervous system</w:t>
      </w:r>
    </w:p>
    <w:p w:rsidR="0056183F" w:rsidRPr="00F94FA9" w:rsidRDefault="0056183F" w:rsidP="006C0F94">
      <w:pPr>
        <w:spacing w:line="240" w:lineRule="auto"/>
        <w:contextualSpacing/>
        <w:mirrorIndents/>
        <w:rPr>
          <w:szCs w:val="24"/>
        </w:rPr>
      </w:pPr>
      <w:r w:rsidRPr="00F94FA9">
        <w:rPr>
          <w:szCs w:val="24"/>
        </w:rPr>
        <w:t>CPF</w:t>
      </w:r>
      <w:r w:rsidRPr="00F94FA9">
        <w:rPr>
          <w:szCs w:val="24"/>
        </w:rPr>
        <w:tab/>
      </w:r>
      <w:r w:rsidRPr="00F94FA9">
        <w:rPr>
          <w:szCs w:val="24"/>
        </w:rPr>
        <w:tab/>
        <w:t>Chlorpyrifos</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Cr</w:t>
      </w:r>
      <w:r w:rsidRPr="00F94FA9">
        <w:rPr>
          <w:szCs w:val="24"/>
        </w:rPr>
        <w:tab/>
      </w:r>
      <w:r w:rsidRPr="00F94FA9">
        <w:rPr>
          <w:szCs w:val="24"/>
        </w:rPr>
        <w:tab/>
        <w:t>Chromium</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CYP</w:t>
      </w:r>
      <w:r w:rsidRPr="00F94FA9">
        <w:rPr>
          <w:szCs w:val="24"/>
        </w:rPr>
        <w:tab/>
      </w:r>
      <w:r w:rsidRPr="00F94FA9">
        <w:rPr>
          <w:szCs w:val="24"/>
        </w:rPr>
        <w:tab/>
        <w:t>Cytochrome P450</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DDT</w:t>
      </w:r>
      <w:r w:rsidRPr="00F94FA9">
        <w:rPr>
          <w:szCs w:val="24"/>
        </w:rPr>
        <w:tab/>
      </w:r>
      <w:r w:rsidRPr="00F94FA9">
        <w:rPr>
          <w:szCs w:val="24"/>
        </w:rPr>
        <w:tab/>
        <w:t>Dichlorodiphenyltrichloroethane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DMA</w:t>
      </w:r>
      <w:r w:rsidRPr="00F94FA9">
        <w:rPr>
          <w:szCs w:val="24"/>
        </w:rPr>
        <w:tab/>
      </w:r>
      <w:r w:rsidRPr="00F94FA9">
        <w:rPr>
          <w:szCs w:val="24"/>
        </w:rPr>
        <w:tab/>
        <w:t>Dimethylarsinic acid</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DMSO</w:t>
      </w:r>
      <w:r w:rsidRPr="00F94FA9">
        <w:rPr>
          <w:szCs w:val="24"/>
        </w:rPr>
        <w:tab/>
        <w:t>Dimethylsul</w:t>
      </w:r>
      <w:r w:rsidR="00056900">
        <w:rPr>
          <w:szCs w:val="24"/>
        </w:rPr>
        <w:t>f</w:t>
      </w:r>
      <w:r w:rsidRPr="00F94FA9">
        <w:rPr>
          <w:szCs w:val="24"/>
        </w:rPr>
        <w:t>oxide</w:t>
      </w:r>
      <w:r w:rsidRPr="00F94FA9">
        <w:rPr>
          <w:szCs w:val="24"/>
        </w:rPr>
        <w:tab/>
      </w:r>
      <w:r w:rsidRPr="00F94FA9">
        <w:rPr>
          <w:szCs w:val="24"/>
        </w:rPr>
        <w:tab/>
      </w:r>
      <w:r w:rsidRPr="00F94FA9">
        <w:rPr>
          <w:szCs w:val="24"/>
        </w:rPr>
        <w:tab/>
      </w:r>
    </w:p>
    <w:p w:rsidR="0006282D" w:rsidRPr="00F94FA9" w:rsidRDefault="0056183F" w:rsidP="006C0F94">
      <w:pPr>
        <w:spacing w:line="240" w:lineRule="auto"/>
        <w:contextualSpacing/>
        <w:mirrorIndents/>
        <w:rPr>
          <w:szCs w:val="24"/>
        </w:rPr>
      </w:pPr>
      <w:r w:rsidRPr="00F94FA9">
        <w:rPr>
          <w:szCs w:val="24"/>
        </w:rPr>
        <w:t>DNA</w:t>
      </w:r>
      <w:r w:rsidRPr="00F94FA9">
        <w:rPr>
          <w:szCs w:val="24"/>
        </w:rPr>
        <w:tab/>
      </w:r>
      <w:r w:rsidRPr="00F94FA9">
        <w:rPr>
          <w:szCs w:val="24"/>
        </w:rPr>
        <w:tab/>
        <w:t>Deoxyribonucleic acid</w:t>
      </w:r>
      <w:r w:rsidRPr="00F94FA9">
        <w:rPr>
          <w:szCs w:val="24"/>
        </w:rPr>
        <w:tab/>
      </w:r>
      <w:r w:rsidRPr="00F94FA9">
        <w:rPr>
          <w:szCs w:val="24"/>
        </w:rPr>
        <w:tab/>
      </w:r>
    </w:p>
    <w:p w:rsidR="0056183F" w:rsidRPr="00F94FA9" w:rsidRDefault="0006282D" w:rsidP="006C0F94">
      <w:pPr>
        <w:spacing w:line="240" w:lineRule="auto"/>
        <w:contextualSpacing/>
        <w:mirrorIndents/>
        <w:rPr>
          <w:szCs w:val="24"/>
        </w:rPr>
      </w:pPr>
      <w:r w:rsidRPr="00F94FA9">
        <w:rPr>
          <w:szCs w:val="24"/>
        </w:rPr>
        <w:t>DOM-1</w:t>
      </w:r>
      <w:r w:rsidRPr="00F94FA9">
        <w:rPr>
          <w:szCs w:val="24"/>
        </w:rPr>
        <w:tab/>
        <w:t>Deepoxydeoxynivalenol</w:t>
      </w:r>
    </w:p>
    <w:p w:rsidR="0006282D" w:rsidRPr="00F94FA9" w:rsidRDefault="0056183F" w:rsidP="006C0F94">
      <w:pPr>
        <w:spacing w:line="240" w:lineRule="auto"/>
        <w:contextualSpacing/>
        <w:mirrorIndents/>
        <w:rPr>
          <w:szCs w:val="24"/>
        </w:rPr>
      </w:pPr>
      <w:r w:rsidRPr="00F94FA9">
        <w:rPr>
          <w:szCs w:val="24"/>
        </w:rPr>
        <w:t>DO</w:t>
      </w:r>
      <w:r w:rsidR="0006282D" w:rsidRPr="00F94FA9">
        <w:rPr>
          <w:szCs w:val="24"/>
        </w:rPr>
        <w:t>N</w:t>
      </w:r>
      <w:r w:rsidRPr="00F94FA9">
        <w:rPr>
          <w:szCs w:val="24"/>
        </w:rPr>
        <w:tab/>
      </w:r>
      <w:r w:rsidRPr="00F94FA9">
        <w:rPr>
          <w:szCs w:val="24"/>
        </w:rPr>
        <w:tab/>
        <w:t>Deoxynivalenol</w:t>
      </w:r>
      <w:r w:rsidRPr="00F94FA9">
        <w:rPr>
          <w:szCs w:val="24"/>
        </w:rPr>
        <w:tab/>
      </w:r>
    </w:p>
    <w:p w:rsidR="003D6E13" w:rsidRDefault="0006282D" w:rsidP="006C0F94">
      <w:pPr>
        <w:spacing w:line="240" w:lineRule="auto"/>
        <w:contextualSpacing/>
        <w:mirrorIndents/>
      </w:pPr>
      <w:r w:rsidRPr="00F94FA9">
        <w:t>DONGlc</w:t>
      </w:r>
      <w:r w:rsidRPr="00F94FA9">
        <w:rPr>
          <w:szCs w:val="24"/>
        </w:rPr>
        <w:tab/>
      </w:r>
      <w:r w:rsidRPr="00F94FA9">
        <w:t>Deoxynivalenol-3-glucoside</w:t>
      </w:r>
    </w:p>
    <w:p w:rsidR="00D41E99" w:rsidRPr="00F94FA9" w:rsidRDefault="00D41E99" w:rsidP="006C0F94">
      <w:pPr>
        <w:spacing w:line="240" w:lineRule="auto"/>
        <w:contextualSpacing/>
        <w:mirrorIndents/>
      </w:pPr>
      <w:r>
        <w:t>DSS</w:t>
      </w:r>
      <w:r>
        <w:tab/>
      </w:r>
      <w:r>
        <w:tab/>
        <w:t>Dextran</w:t>
      </w:r>
      <w:r w:rsidR="001C2DC6">
        <w:t xml:space="preserve"> sodium </w:t>
      </w:r>
      <w:r>
        <w:t xml:space="preserve"> sul</w:t>
      </w:r>
      <w:r w:rsidR="00056900">
        <w:t>f</w:t>
      </w:r>
      <w:r>
        <w:t>ate</w:t>
      </w:r>
    </w:p>
    <w:p w:rsidR="000C798B" w:rsidRPr="00F94FA9" w:rsidRDefault="000C798B" w:rsidP="006C0F94">
      <w:pPr>
        <w:spacing w:line="240" w:lineRule="auto"/>
        <w:contextualSpacing/>
        <w:mirrorIndents/>
      </w:pPr>
      <w:r w:rsidRPr="00F94FA9">
        <w:t>EE</w:t>
      </w:r>
      <w:r w:rsidRPr="00F94FA9">
        <w:tab/>
      </w:r>
      <w:r w:rsidRPr="00F94FA9">
        <w:tab/>
        <w:t>Ethinyl (o)estradiol</w:t>
      </w:r>
    </w:p>
    <w:p w:rsidR="005F2B92" w:rsidRPr="00F94FA9" w:rsidRDefault="003D6E13" w:rsidP="006C0F94">
      <w:pPr>
        <w:spacing w:line="240" w:lineRule="auto"/>
        <w:contextualSpacing/>
        <w:mirrorIndents/>
        <w:rPr>
          <w:szCs w:val="24"/>
        </w:rPr>
      </w:pPr>
      <w:r w:rsidRPr="00F94FA9">
        <w:rPr>
          <w:szCs w:val="24"/>
        </w:rPr>
        <w:t>F1</w:t>
      </w:r>
      <w:r w:rsidRPr="00F94FA9">
        <w:rPr>
          <w:szCs w:val="24"/>
        </w:rPr>
        <w:tab/>
      </w:r>
      <w:r w:rsidRPr="00F94FA9">
        <w:rPr>
          <w:szCs w:val="24"/>
        </w:rPr>
        <w:tab/>
        <w:t>First generation offspring</w:t>
      </w:r>
      <w:r w:rsidR="0056183F" w:rsidRPr="00F94FA9">
        <w:rPr>
          <w:szCs w:val="24"/>
        </w:rPr>
        <w:tab/>
      </w:r>
    </w:p>
    <w:p w:rsidR="0056183F" w:rsidRPr="00F94FA9" w:rsidRDefault="005F2B92" w:rsidP="006C0F94">
      <w:pPr>
        <w:spacing w:line="240" w:lineRule="auto"/>
        <w:contextualSpacing/>
        <w:mirrorIndents/>
        <w:rPr>
          <w:szCs w:val="24"/>
        </w:rPr>
      </w:pPr>
      <w:r w:rsidRPr="00F94FA9">
        <w:rPr>
          <w:szCs w:val="24"/>
        </w:rPr>
        <w:t>FAO</w:t>
      </w:r>
      <w:r w:rsidRPr="00F94FA9">
        <w:rPr>
          <w:szCs w:val="24"/>
        </w:rPr>
        <w:tab/>
      </w:r>
      <w:r w:rsidRPr="00F94FA9">
        <w:rPr>
          <w:szCs w:val="24"/>
        </w:rPr>
        <w:tab/>
        <w:t>United Nations Food and Agriculture Organization</w:t>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FBG</w:t>
      </w:r>
      <w:r w:rsidRPr="00F94FA9">
        <w:rPr>
          <w:szCs w:val="24"/>
        </w:rPr>
        <w:tab/>
      </w:r>
      <w:r w:rsidRPr="00F94FA9">
        <w:rPr>
          <w:szCs w:val="24"/>
        </w:rPr>
        <w:tab/>
        <w:t>Ferrous bisglycinate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Fe</w:t>
      </w:r>
      <w:r w:rsidRPr="00F94FA9">
        <w:rPr>
          <w:szCs w:val="24"/>
        </w:rPr>
        <w:tab/>
      </w:r>
      <w:r w:rsidRPr="00F94FA9">
        <w:rPr>
          <w:szCs w:val="24"/>
        </w:rPr>
        <w:tab/>
        <w:t>Iron</w:t>
      </w:r>
      <w:r w:rsidRPr="00F94FA9">
        <w:rPr>
          <w:szCs w:val="24"/>
        </w:rPr>
        <w:tab/>
      </w:r>
      <w:r w:rsidRPr="00F94FA9">
        <w:rPr>
          <w:szCs w:val="24"/>
        </w:rPr>
        <w:tab/>
      </w:r>
      <w:r w:rsidRPr="00F94FA9">
        <w:rPr>
          <w:szCs w:val="24"/>
        </w:rPr>
        <w:tab/>
      </w:r>
    </w:p>
    <w:p w:rsidR="008E649F" w:rsidRPr="00F94FA9" w:rsidRDefault="0056183F" w:rsidP="006C0F94">
      <w:pPr>
        <w:spacing w:line="240" w:lineRule="auto"/>
        <w:contextualSpacing/>
        <w:mirrorIndents/>
        <w:rPr>
          <w:szCs w:val="24"/>
        </w:rPr>
      </w:pPr>
      <w:r w:rsidRPr="00F94FA9">
        <w:rPr>
          <w:szCs w:val="24"/>
        </w:rPr>
        <w:t>FeEDTA</w:t>
      </w:r>
      <w:r w:rsidRPr="00F94FA9">
        <w:rPr>
          <w:szCs w:val="24"/>
        </w:rPr>
        <w:tab/>
        <w:t>Ferrous ethylenediaminetetraacetic acid</w:t>
      </w:r>
      <w:r w:rsidRPr="00F94FA9">
        <w:rPr>
          <w:szCs w:val="24"/>
        </w:rPr>
        <w:tab/>
      </w:r>
    </w:p>
    <w:p w:rsidR="0056183F" w:rsidRPr="00F94FA9" w:rsidRDefault="00823F15" w:rsidP="006C0F94">
      <w:pPr>
        <w:spacing w:line="240" w:lineRule="auto"/>
        <w:contextualSpacing/>
        <w:mirrorIndents/>
        <w:rPr>
          <w:szCs w:val="24"/>
        </w:rPr>
      </w:pPr>
      <w:r w:rsidRPr="00F94FA9">
        <w:rPr>
          <w:szCs w:val="24"/>
        </w:rPr>
        <w:t>FOXP3</w:t>
      </w:r>
      <w:r w:rsidRPr="00F94FA9">
        <w:rPr>
          <w:szCs w:val="24"/>
        </w:rPr>
        <w:tab/>
        <w:t>Forkhead immune-regulatory protein P3</w:t>
      </w:r>
      <w:r w:rsidR="0056183F" w:rsidRPr="00F94FA9">
        <w:rPr>
          <w:szCs w:val="24"/>
        </w:rPr>
        <w:tab/>
      </w:r>
      <w:r w:rsidR="0056183F" w:rsidRPr="00F94FA9">
        <w:rPr>
          <w:szCs w:val="24"/>
        </w:rPr>
        <w:tab/>
      </w:r>
    </w:p>
    <w:p w:rsidR="00E066AA" w:rsidRPr="00F94FA9" w:rsidRDefault="0056183F" w:rsidP="006C0F94">
      <w:pPr>
        <w:spacing w:line="240" w:lineRule="auto"/>
        <w:contextualSpacing/>
        <w:mirrorIndents/>
        <w:rPr>
          <w:szCs w:val="24"/>
        </w:rPr>
      </w:pPr>
      <w:r w:rsidRPr="00F94FA9">
        <w:rPr>
          <w:szCs w:val="24"/>
        </w:rPr>
        <w:t>FS</w:t>
      </w:r>
      <w:r w:rsidRPr="00F94FA9">
        <w:rPr>
          <w:szCs w:val="24"/>
        </w:rPr>
        <w:tab/>
      </w:r>
      <w:r w:rsidRPr="00F94FA9">
        <w:rPr>
          <w:szCs w:val="24"/>
        </w:rPr>
        <w:tab/>
        <w:t>Ferrous sul</w:t>
      </w:r>
      <w:r w:rsidR="00056900">
        <w:rPr>
          <w:szCs w:val="24"/>
        </w:rPr>
        <w:t>f</w:t>
      </w:r>
      <w:r w:rsidRPr="00F94FA9">
        <w:rPr>
          <w:szCs w:val="24"/>
        </w:rPr>
        <w:t>ate</w:t>
      </w:r>
      <w:r w:rsidRPr="00F94FA9">
        <w:rPr>
          <w:szCs w:val="24"/>
        </w:rPr>
        <w:tab/>
      </w:r>
      <w:r w:rsidRPr="00F94FA9">
        <w:rPr>
          <w:szCs w:val="24"/>
        </w:rPr>
        <w:tab/>
      </w:r>
    </w:p>
    <w:p w:rsidR="0056183F" w:rsidRPr="00F94FA9" w:rsidRDefault="00E066AA" w:rsidP="006C0F94">
      <w:pPr>
        <w:spacing w:line="240" w:lineRule="auto"/>
        <w:contextualSpacing/>
        <w:mirrorIndents/>
        <w:rPr>
          <w:szCs w:val="24"/>
        </w:rPr>
      </w:pPr>
      <w:r w:rsidRPr="00F94FA9">
        <w:rPr>
          <w:szCs w:val="24"/>
        </w:rPr>
        <w:t>FXR</w:t>
      </w:r>
      <w:r w:rsidRPr="00F94FA9">
        <w:rPr>
          <w:szCs w:val="24"/>
        </w:rPr>
        <w:tab/>
      </w:r>
      <w:r w:rsidRPr="00F94FA9">
        <w:rPr>
          <w:szCs w:val="24"/>
        </w:rPr>
        <w:tab/>
        <w:t>Farnesyl-X receptor</w:t>
      </w:r>
      <w:r w:rsidR="0056183F" w:rsidRPr="00F94FA9">
        <w:rPr>
          <w:szCs w:val="24"/>
        </w:rPr>
        <w:tab/>
      </w:r>
    </w:p>
    <w:p w:rsidR="004F0136" w:rsidRDefault="004F0136" w:rsidP="006C0F94">
      <w:pPr>
        <w:spacing w:line="240" w:lineRule="auto"/>
        <w:contextualSpacing/>
        <w:mirrorIndents/>
        <w:rPr>
          <w:szCs w:val="24"/>
        </w:rPr>
      </w:pPr>
      <w:r w:rsidRPr="00F94FA9">
        <w:rPr>
          <w:szCs w:val="24"/>
        </w:rPr>
        <w:t>GC</w:t>
      </w:r>
      <w:r w:rsidRPr="00F94FA9">
        <w:rPr>
          <w:szCs w:val="24"/>
        </w:rPr>
        <w:tab/>
      </w:r>
      <w:r w:rsidRPr="00F94FA9">
        <w:rPr>
          <w:szCs w:val="24"/>
        </w:rPr>
        <w:tab/>
        <w:t>Gas chromatography</w:t>
      </w:r>
    </w:p>
    <w:p w:rsidR="00AE5418" w:rsidRPr="00F94FA9" w:rsidRDefault="00AE5418" w:rsidP="006C0F94">
      <w:pPr>
        <w:spacing w:line="240" w:lineRule="auto"/>
        <w:contextualSpacing/>
        <w:mirrorIndents/>
        <w:rPr>
          <w:szCs w:val="24"/>
        </w:rPr>
      </w:pPr>
      <w:r>
        <w:rPr>
          <w:szCs w:val="24"/>
        </w:rPr>
        <w:t>GERD</w:t>
      </w:r>
      <w:r>
        <w:rPr>
          <w:szCs w:val="24"/>
        </w:rPr>
        <w:tab/>
      </w:r>
      <w:r>
        <w:rPr>
          <w:szCs w:val="24"/>
        </w:rPr>
        <w:tab/>
        <w:t>Gastrointedtinal-esophageal reflux disease</w:t>
      </w:r>
    </w:p>
    <w:p w:rsidR="002B2C83" w:rsidRPr="00F94FA9" w:rsidRDefault="0056183F" w:rsidP="006C0F94">
      <w:pPr>
        <w:spacing w:line="240" w:lineRule="auto"/>
        <w:contextualSpacing/>
        <w:mirrorIndents/>
        <w:rPr>
          <w:szCs w:val="24"/>
        </w:rPr>
      </w:pPr>
      <w:r w:rsidRPr="00F94FA9">
        <w:rPr>
          <w:szCs w:val="24"/>
        </w:rPr>
        <w:t>GI</w:t>
      </w:r>
      <w:r w:rsidRPr="00F94FA9">
        <w:rPr>
          <w:szCs w:val="24"/>
        </w:rPr>
        <w:tab/>
      </w:r>
      <w:r w:rsidRPr="00F94FA9">
        <w:rPr>
          <w:szCs w:val="24"/>
        </w:rPr>
        <w:tab/>
        <w:t>Gastrointestinal</w:t>
      </w:r>
    </w:p>
    <w:p w:rsidR="0056183F" w:rsidRPr="00F94FA9" w:rsidRDefault="002B2C83" w:rsidP="006C0F94">
      <w:pPr>
        <w:spacing w:line="240" w:lineRule="auto"/>
        <w:contextualSpacing/>
        <w:mirrorIndents/>
        <w:rPr>
          <w:szCs w:val="24"/>
        </w:rPr>
      </w:pPr>
      <w:r w:rsidRPr="00F94FA9">
        <w:rPr>
          <w:szCs w:val="24"/>
        </w:rPr>
        <w:t>GPR</w:t>
      </w:r>
      <w:r w:rsidRPr="00F94FA9">
        <w:rPr>
          <w:szCs w:val="24"/>
        </w:rPr>
        <w:tab/>
      </w:r>
      <w:r w:rsidRPr="00F94FA9">
        <w:rPr>
          <w:szCs w:val="24"/>
        </w:rPr>
        <w:tab/>
        <w:t>Orphan G-protein-coupled receptor</w:t>
      </w:r>
      <w:r w:rsidR="0056183F" w:rsidRPr="00F94FA9">
        <w:rPr>
          <w:szCs w:val="24"/>
        </w:rPr>
        <w:tab/>
      </w:r>
      <w:r w:rsidR="0056183F" w:rsidRPr="00F94FA9">
        <w:rPr>
          <w:szCs w:val="24"/>
        </w:rPr>
        <w:tab/>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HAA</w:t>
      </w:r>
      <w:r w:rsidRPr="00F94FA9">
        <w:rPr>
          <w:szCs w:val="24"/>
        </w:rPr>
        <w:tab/>
      </w:r>
      <w:r w:rsidRPr="00F94FA9">
        <w:rPr>
          <w:szCs w:val="24"/>
        </w:rPr>
        <w:tab/>
      </w:r>
      <w:r w:rsidR="004F0136" w:rsidRPr="00F94FA9">
        <w:rPr>
          <w:szCs w:val="24"/>
        </w:rPr>
        <w:t>He</w:t>
      </w:r>
      <w:r w:rsidRPr="00F94FA9">
        <w:rPr>
          <w:szCs w:val="24"/>
        </w:rPr>
        <w:t>terocyclic aromatic amines</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HBCDD</w:t>
      </w:r>
      <w:r w:rsidRPr="00F94FA9">
        <w:rPr>
          <w:szCs w:val="24"/>
        </w:rPr>
        <w:tab/>
        <w:t>Hexabromocyclododecane</w:t>
      </w:r>
      <w:r w:rsidRPr="00F94FA9">
        <w:rPr>
          <w:szCs w:val="24"/>
        </w:rPr>
        <w:tab/>
      </w:r>
      <w:r w:rsidRPr="00F94FA9">
        <w:rPr>
          <w:szCs w:val="24"/>
        </w:rPr>
        <w:tab/>
      </w:r>
      <w:r w:rsidRPr="00F94FA9">
        <w:rPr>
          <w:szCs w:val="24"/>
        </w:rPr>
        <w:tab/>
      </w:r>
    </w:p>
    <w:p w:rsidR="00E066AA" w:rsidRPr="00F94FA9" w:rsidRDefault="0056183F" w:rsidP="006C0F94">
      <w:pPr>
        <w:spacing w:line="240" w:lineRule="auto"/>
        <w:contextualSpacing/>
        <w:mirrorIndents/>
        <w:rPr>
          <w:szCs w:val="24"/>
        </w:rPr>
      </w:pPr>
      <w:r w:rsidRPr="00F94FA9">
        <w:rPr>
          <w:szCs w:val="24"/>
        </w:rPr>
        <w:t>HDL</w:t>
      </w:r>
      <w:r w:rsidRPr="00F94FA9">
        <w:rPr>
          <w:szCs w:val="24"/>
        </w:rPr>
        <w:tab/>
      </w:r>
      <w:r w:rsidRPr="00F94FA9">
        <w:rPr>
          <w:szCs w:val="24"/>
        </w:rPr>
        <w:tab/>
        <w:t>High-density lipoproteins</w:t>
      </w:r>
      <w:r w:rsidRPr="00F94FA9">
        <w:rPr>
          <w:szCs w:val="24"/>
        </w:rPr>
        <w:tab/>
      </w:r>
    </w:p>
    <w:p w:rsidR="008E6925" w:rsidRDefault="008E6925" w:rsidP="006C0F94">
      <w:pPr>
        <w:spacing w:line="240" w:lineRule="auto"/>
        <w:contextualSpacing/>
        <w:mirrorIndents/>
        <w:rPr>
          <w:szCs w:val="24"/>
        </w:rPr>
      </w:pPr>
      <w:r w:rsidRPr="00F94FA9">
        <w:rPr>
          <w:szCs w:val="24"/>
        </w:rPr>
        <w:t>Hg</w:t>
      </w:r>
      <w:r w:rsidRPr="00F94FA9">
        <w:rPr>
          <w:szCs w:val="24"/>
        </w:rPr>
        <w:tab/>
      </w:r>
      <w:r w:rsidRPr="00F94FA9">
        <w:rPr>
          <w:szCs w:val="24"/>
        </w:rPr>
        <w:tab/>
        <w:t xml:space="preserve">Mercury </w:t>
      </w:r>
    </w:p>
    <w:p w:rsidR="003A7F46" w:rsidRPr="003A7F46" w:rsidRDefault="003A7F46" w:rsidP="006C0F94">
      <w:pPr>
        <w:spacing w:line="240" w:lineRule="auto"/>
        <w:contextualSpacing/>
        <w:mirrorIndents/>
        <w:rPr>
          <w:szCs w:val="24"/>
        </w:rPr>
      </w:pPr>
      <w:r>
        <w:rPr>
          <w:szCs w:val="24"/>
        </w:rPr>
        <w:t>HgCl</w:t>
      </w:r>
      <w:r>
        <w:rPr>
          <w:szCs w:val="24"/>
          <w:vertAlign w:val="subscript"/>
        </w:rPr>
        <w:t>2</w:t>
      </w:r>
      <w:r>
        <w:rPr>
          <w:szCs w:val="24"/>
          <w:vertAlign w:val="subscript"/>
        </w:rPr>
        <w:tab/>
      </w:r>
      <w:r>
        <w:rPr>
          <w:szCs w:val="24"/>
          <w:vertAlign w:val="subscript"/>
        </w:rPr>
        <w:tab/>
      </w:r>
      <w:r>
        <w:rPr>
          <w:szCs w:val="24"/>
        </w:rPr>
        <w:t>Mercuric chloride</w:t>
      </w:r>
    </w:p>
    <w:p w:rsidR="00E37C57" w:rsidRPr="00F94FA9" w:rsidRDefault="00E37C57" w:rsidP="006C0F94">
      <w:pPr>
        <w:spacing w:line="240" w:lineRule="auto"/>
        <w:contextualSpacing/>
        <w:mirrorIndents/>
        <w:rPr>
          <w:szCs w:val="24"/>
        </w:rPr>
      </w:pPr>
      <w:r>
        <w:rPr>
          <w:szCs w:val="24"/>
        </w:rPr>
        <w:t>HgS</w:t>
      </w:r>
      <w:r>
        <w:rPr>
          <w:szCs w:val="24"/>
        </w:rPr>
        <w:tab/>
      </w:r>
      <w:r>
        <w:rPr>
          <w:szCs w:val="24"/>
        </w:rPr>
        <w:tab/>
        <w:t>Mercuric sul</w:t>
      </w:r>
      <w:r w:rsidR="00056900">
        <w:rPr>
          <w:szCs w:val="24"/>
        </w:rPr>
        <w:t>f</w:t>
      </w:r>
      <w:r>
        <w:rPr>
          <w:szCs w:val="24"/>
        </w:rPr>
        <w:t>ide, cinnabar</w:t>
      </w:r>
    </w:p>
    <w:p w:rsidR="0056183F" w:rsidRPr="00F94FA9" w:rsidRDefault="00E066AA" w:rsidP="006C0F94">
      <w:pPr>
        <w:spacing w:line="240" w:lineRule="auto"/>
        <w:contextualSpacing/>
        <w:mirrorIndents/>
        <w:rPr>
          <w:szCs w:val="24"/>
        </w:rPr>
      </w:pPr>
      <w:r w:rsidRPr="00F94FA9">
        <w:rPr>
          <w:szCs w:val="24"/>
        </w:rPr>
        <w:t>HMG-CoA</w:t>
      </w:r>
      <w:r w:rsidRPr="00F94FA9">
        <w:rPr>
          <w:szCs w:val="24"/>
        </w:rPr>
        <w:tab/>
        <w:t>Hydroxymethylglutarate coenzyme A</w:t>
      </w:r>
      <w:r w:rsidR="0056183F" w:rsidRPr="00F94FA9">
        <w:rPr>
          <w:szCs w:val="24"/>
        </w:rPr>
        <w:tab/>
      </w:r>
      <w:r w:rsidR="0056183F" w:rsidRPr="00F94FA9">
        <w:rPr>
          <w:szCs w:val="24"/>
        </w:rPr>
        <w:tab/>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HPA</w:t>
      </w:r>
      <w:r w:rsidRPr="00F94FA9">
        <w:rPr>
          <w:szCs w:val="24"/>
        </w:rPr>
        <w:tab/>
      </w:r>
      <w:r w:rsidRPr="00F94FA9">
        <w:rPr>
          <w:szCs w:val="24"/>
        </w:rPr>
        <w:tab/>
        <w:t xml:space="preserve">Hypothalamic-pituitary-adrenal </w:t>
      </w:r>
      <w:r w:rsidRPr="00F94FA9">
        <w:rPr>
          <w:szCs w:val="24"/>
        </w:rPr>
        <w:tab/>
      </w:r>
      <w:r w:rsidRPr="00F94FA9">
        <w:rPr>
          <w:szCs w:val="24"/>
        </w:rPr>
        <w:tab/>
      </w:r>
      <w:r w:rsidRPr="00F94FA9">
        <w:rPr>
          <w:szCs w:val="24"/>
        </w:rPr>
        <w:tab/>
      </w:r>
    </w:p>
    <w:p w:rsidR="001D3953" w:rsidRPr="00F94FA9" w:rsidRDefault="0056183F" w:rsidP="006C0F94">
      <w:pPr>
        <w:spacing w:line="240" w:lineRule="auto"/>
        <w:contextualSpacing/>
        <w:mirrorIndents/>
        <w:rPr>
          <w:szCs w:val="24"/>
        </w:rPr>
      </w:pPr>
      <w:r w:rsidRPr="00F94FA9">
        <w:rPr>
          <w:szCs w:val="24"/>
        </w:rPr>
        <w:t>HRS</w:t>
      </w:r>
      <w:r w:rsidRPr="00F94FA9">
        <w:rPr>
          <w:szCs w:val="24"/>
        </w:rPr>
        <w:tab/>
      </w:r>
      <w:r w:rsidRPr="00F94FA9">
        <w:rPr>
          <w:szCs w:val="24"/>
        </w:rPr>
        <w:tab/>
        <w:t>High-resistan</w:t>
      </w:r>
      <w:r w:rsidR="001D3953" w:rsidRPr="00F94FA9">
        <w:rPr>
          <w:szCs w:val="24"/>
        </w:rPr>
        <w:t>t</w:t>
      </w:r>
      <w:r w:rsidRPr="00F94FA9">
        <w:rPr>
          <w:szCs w:val="24"/>
        </w:rPr>
        <w:t xml:space="preserve"> starch</w:t>
      </w:r>
    </w:p>
    <w:p w:rsidR="0056183F" w:rsidRPr="00F94FA9" w:rsidRDefault="001D3953" w:rsidP="006C0F94">
      <w:pPr>
        <w:spacing w:line="240" w:lineRule="auto"/>
        <w:contextualSpacing/>
        <w:mirrorIndents/>
        <w:rPr>
          <w:szCs w:val="24"/>
        </w:rPr>
      </w:pPr>
      <w:r w:rsidRPr="00F94FA9">
        <w:rPr>
          <w:szCs w:val="24"/>
        </w:rPr>
        <w:t>IARC</w:t>
      </w:r>
      <w:r w:rsidRPr="00F94FA9">
        <w:rPr>
          <w:szCs w:val="24"/>
        </w:rPr>
        <w:tab/>
      </w:r>
      <w:r w:rsidRPr="00F94FA9">
        <w:rPr>
          <w:szCs w:val="24"/>
        </w:rPr>
        <w:tab/>
        <w:t>International Agency for Research on Cancer</w:t>
      </w:r>
      <w:r w:rsidR="0056183F" w:rsidRPr="00F94FA9">
        <w:rPr>
          <w:szCs w:val="24"/>
        </w:rPr>
        <w:tab/>
      </w:r>
      <w:r w:rsidR="0056183F" w:rsidRPr="00F94FA9">
        <w:rPr>
          <w:szCs w:val="24"/>
        </w:rPr>
        <w:tab/>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IBD</w:t>
      </w:r>
      <w:r w:rsidRPr="00F94FA9">
        <w:rPr>
          <w:szCs w:val="24"/>
        </w:rPr>
        <w:tab/>
      </w:r>
      <w:r w:rsidRPr="00F94FA9">
        <w:rPr>
          <w:szCs w:val="24"/>
        </w:rPr>
        <w:tab/>
        <w:t>Inflammatory bowel disease</w:t>
      </w:r>
      <w:r w:rsidRPr="00F94FA9">
        <w:rPr>
          <w:szCs w:val="24"/>
        </w:rPr>
        <w:tab/>
      </w:r>
      <w:r w:rsidRPr="00F94FA9">
        <w:rPr>
          <w:szCs w:val="24"/>
        </w:rPr>
        <w:tab/>
      </w:r>
      <w:r w:rsidRPr="00F94FA9">
        <w:rPr>
          <w:szCs w:val="24"/>
        </w:rPr>
        <w:tab/>
      </w:r>
    </w:p>
    <w:p w:rsidR="004D51FD" w:rsidRDefault="0056183F" w:rsidP="006C0F94">
      <w:pPr>
        <w:spacing w:line="240" w:lineRule="auto"/>
        <w:contextualSpacing/>
        <w:mirrorIndents/>
        <w:rPr>
          <w:szCs w:val="24"/>
        </w:rPr>
      </w:pPr>
      <w:r w:rsidRPr="00F94FA9">
        <w:rPr>
          <w:szCs w:val="24"/>
        </w:rPr>
        <w:t>Ig</w:t>
      </w:r>
      <w:r w:rsidR="004D51FD">
        <w:rPr>
          <w:szCs w:val="24"/>
        </w:rPr>
        <w:t xml:space="preserve"> </w:t>
      </w:r>
      <w:r w:rsidRPr="00F94FA9">
        <w:rPr>
          <w:szCs w:val="24"/>
        </w:rPr>
        <w:t>A</w:t>
      </w:r>
      <w:r w:rsidRPr="00F94FA9">
        <w:rPr>
          <w:szCs w:val="24"/>
        </w:rPr>
        <w:tab/>
      </w:r>
      <w:r w:rsidRPr="00F94FA9">
        <w:rPr>
          <w:szCs w:val="24"/>
        </w:rPr>
        <w:tab/>
        <w:t>Immunoglobulin A</w:t>
      </w:r>
    </w:p>
    <w:p w:rsidR="0056183F" w:rsidRPr="00F94FA9" w:rsidRDefault="004D51FD" w:rsidP="006C0F94">
      <w:pPr>
        <w:spacing w:line="240" w:lineRule="auto"/>
        <w:contextualSpacing/>
        <w:mirrorIndents/>
        <w:rPr>
          <w:szCs w:val="24"/>
        </w:rPr>
      </w:pPr>
      <w:r>
        <w:rPr>
          <w:szCs w:val="24"/>
        </w:rPr>
        <w:t>IL</w:t>
      </w:r>
      <w:r>
        <w:rPr>
          <w:szCs w:val="24"/>
        </w:rPr>
        <w:tab/>
      </w:r>
      <w:r>
        <w:rPr>
          <w:szCs w:val="24"/>
        </w:rPr>
        <w:tab/>
        <w:t>Interleukin</w:t>
      </w:r>
      <w:r w:rsidR="0056183F" w:rsidRPr="00F94FA9">
        <w:rPr>
          <w:szCs w:val="24"/>
        </w:rPr>
        <w:tab/>
      </w:r>
      <w:r w:rsidR="0056183F" w:rsidRPr="00F94FA9">
        <w:rPr>
          <w:szCs w:val="24"/>
        </w:rPr>
        <w:tab/>
      </w:r>
      <w:r w:rsidR="0056183F" w:rsidRPr="00F94FA9">
        <w:rPr>
          <w:szCs w:val="24"/>
        </w:rPr>
        <w:tab/>
      </w:r>
    </w:p>
    <w:p w:rsidR="005F2B92" w:rsidRPr="00F94FA9" w:rsidRDefault="0056183F" w:rsidP="006C0F94">
      <w:pPr>
        <w:spacing w:line="240" w:lineRule="auto"/>
        <w:contextualSpacing/>
        <w:mirrorIndents/>
        <w:rPr>
          <w:szCs w:val="24"/>
        </w:rPr>
      </w:pPr>
      <w:r w:rsidRPr="00F94FA9">
        <w:rPr>
          <w:szCs w:val="24"/>
        </w:rPr>
        <w:t>IQ</w:t>
      </w:r>
      <w:r w:rsidRPr="00F94FA9">
        <w:rPr>
          <w:szCs w:val="24"/>
        </w:rPr>
        <w:tab/>
      </w:r>
      <w:r w:rsidRPr="00F94FA9">
        <w:rPr>
          <w:szCs w:val="24"/>
        </w:rPr>
        <w:tab/>
        <w:t>2-amino-3-methylimidazo[4,5-f]quinoline</w:t>
      </w:r>
      <w:r w:rsidRPr="00F94FA9">
        <w:rPr>
          <w:szCs w:val="24"/>
        </w:rPr>
        <w:tab/>
      </w:r>
      <w:r w:rsidRPr="00F94FA9">
        <w:rPr>
          <w:szCs w:val="24"/>
        </w:rPr>
        <w:tab/>
      </w:r>
    </w:p>
    <w:p w:rsidR="0056183F" w:rsidRDefault="005F2B92" w:rsidP="006C0F94">
      <w:pPr>
        <w:spacing w:line="240" w:lineRule="auto"/>
        <w:contextualSpacing/>
        <w:mirrorIndents/>
        <w:rPr>
          <w:szCs w:val="24"/>
        </w:rPr>
      </w:pPr>
      <w:r w:rsidRPr="00F94FA9">
        <w:rPr>
          <w:szCs w:val="24"/>
        </w:rPr>
        <w:t>JECFA</w:t>
      </w:r>
      <w:r w:rsidRPr="00F94FA9">
        <w:rPr>
          <w:szCs w:val="24"/>
        </w:rPr>
        <w:tab/>
        <w:t xml:space="preserve">Joint FAO/WHO </w:t>
      </w:r>
      <w:r w:rsidR="00C63CD1" w:rsidRPr="00F94FA9">
        <w:rPr>
          <w:szCs w:val="24"/>
        </w:rPr>
        <w:t xml:space="preserve">Expert </w:t>
      </w:r>
      <w:r w:rsidRPr="00F94FA9">
        <w:rPr>
          <w:szCs w:val="24"/>
        </w:rPr>
        <w:t>Committee on Food Additives</w:t>
      </w:r>
      <w:r w:rsidR="0056183F" w:rsidRPr="00F94FA9">
        <w:rPr>
          <w:szCs w:val="24"/>
        </w:rPr>
        <w:tab/>
      </w:r>
    </w:p>
    <w:p w:rsidR="003A7F46" w:rsidRPr="00F94FA9" w:rsidRDefault="003A7F46" w:rsidP="006C0F94">
      <w:pPr>
        <w:spacing w:line="240" w:lineRule="auto"/>
        <w:contextualSpacing/>
        <w:mirrorIndents/>
        <w:rPr>
          <w:szCs w:val="24"/>
        </w:rPr>
      </w:pPr>
      <w:r>
        <w:rPr>
          <w:szCs w:val="24"/>
        </w:rPr>
        <w:t>JMPR</w:t>
      </w:r>
      <w:r w:rsidR="008449DA">
        <w:rPr>
          <w:szCs w:val="24"/>
        </w:rPr>
        <w:tab/>
      </w:r>
      <w:r w:rsidR="008449DA">
        <w:rPr>
          <w:szCs w:val="24"/>
        </w:rPr>
        <w:tab/>
        <w:t>Joint FAO/WHO Meeting on Pesticide Residues</w:t>
      </w:r>
    </w:p>
    <w:p w:rsidR="0056183F" w:rsidRPr="00F94FA9" w:rsidRDefault="0056183F" w:rsidP="006C0F94">
      <w:pPr>
        <w:spacing w:line="240" w:lineRule="auto"/>
        <w:contextualSpacing/>
        <w:mirrorIndents/>
        <w:rPr>
          <w:szCs w:val="24"/>
        </w:rPr>
      </w:pPr>
      <w:r w:rsidRPr="00F94FA9">
        <w:rPr>
          <w:szCs w:val="24"/>
        </w:rPr>
        <w:t>LC</w:t>
      </w:r>
      <w:r w:rsidRPr="00F94FA9">
        <w:rPr>
          <w:szCs w:val="24"/>
        </w:rPr>
        <w:tab/>
      </w:r>
      <w:r w:rsidRPr="00F94FA9">
        <w:rPr>
          <w:szCs w:val="24"/>
        </w:rPr>
        <w:tab/>
        <w:t>Liquid chromatography</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LDL</w:t>
      </w:r>
      <w:r w:rsidRPr="00F94FA9">
        <w:rPr>
          <w:szCs w:val="24"/>
        </w:rPr>
        <w:tab/>
      </w:r>
      <w:r w:rsidRPr="00F94FA9">
        <w:rPr>
          <w:szCs w:val="24"/>
        </w:rPr>
        <w:tab/>
        <w:t>Low-density lipoproteins</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LPS</w:t>
      </w:r>
      <w:r w:rsidRPr="00F94FA9">
        <w:rPr>
          <w:szCs w:val="24"/>
        </w:rPr>
        <w:tab/>
      </w:r>
      <w:r w:rsidRPr="00F94FA9">
        <w:rPr>
          <w:szCs w:val="24"/>
        </w:rPr>
        <w:tab/>
        <w:t>Lipopolysaccharide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MCP</w:t>
      </w:r>
      <w:r w:rsidRPr="00F94FA9">
        <w:rPr>
          <w:szCs w:val="24"/>
        </w:rPr>
        <w:tab/>
      </w:r>
      <w:r w:rsidRPr="00F94FA9">
        <w:rPr>
          <w:szCs w:val="24"/>
        </w:rPr>
        <w:tab/>
        <w:t>Monocrotophos</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MeHg</w:t>
      </w:r>
      <w:r w:rsidRPr="00F94FA9">
        <w:rPr>
          <w:szCs w:val="24"/>
        </w:rPr>
        <w:tab/>
      </w:r>
      <w:r w:rsidRPr="00F94FA9">
        <w:rPr>
          <w:szCs w:val="24"/>
        </w:rPr>
        <w:tab/>
        <w:t>Methyl mercury</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MIC</w:t>
      </w:r>
      <w:r w:rsidRPr="00F94FA9">
        <w:rPr>
          <w:szCs w:val="24"/>
        </w:rPr>
        <w:tab/>
      </w:r>
      <w:r w:rsidRPr="00F94FA9">
        <w:rPr>
          <w:szCs w:val="24"/>
        </w:rPr>
        <w:tab/>
        <w:t>Minimum inhibitory concentration</w:t>
      </w:r>
      <w:r w:rsidRPr="00F94FA9">
        <w:rPr>
          <w:szCs w:val="24"/>
        </w:rPr>
        <w:tab/>
      </w:r>
      <w:r w:rsidRPr="00F94FA9">
        <w:rPr>
          <w:szCs w:val="24"/>
        </w:rPr>
        <w:tab/>
      </w:r>
      <w:r w:rsidRPr="00F94FA9">
        <w:rPr>
          <w:szCs w:val="24"/>
        </w:rPr>
        <w:tab/>
      </w:r>
    </w:p>
    <w:p w:rsidR="004F0136" w:rsidRPr="00F94FA9" w:rsidRDefault="0056183F" w:rsidP="006C0F94">
      <w:pPr>
        <w:spacing w:line="240" w:lineRule="auto"/>
        <w:contextualSpacing/>
        <w:mirrorIndents/>
        <w:rPr>
          <w:szCs w:val="24"/>
        </w:rPr>
      </w:pPr>
      <w:r w:rsidRPr="00F94FA9">
        <w:rPr>
          <w:rFonts w:ascii="Symbol" w:hAnsi="Symbol"/>
          <w:szCs w:val="24"/>
        </w:rPr>
        <w:t></w:t>
      </w:r>
      <w:r w:rsidRPr="00F94FA9">
        <w:rPr>
          <w:szCs w:val="24"/>
        </w:rPr>
        <w:t>M</w:t>
      </w:r>
      <w:r w:rsidRPr="00F94FA9">
        <w:rPr>
          <w:szCs w:val="24"/>
        </w:rPr>
        <w:tab/>
      </w:r>
      <w:r w:rsidRPr="00F94FA9">
        <w:rPr>
          <w:szCs w:val="24"/>
        </w:rPr>
        <w:tab/>
        <w:t>Micromolar</w:t>
      </w:r>
      <w:r w:rsidRPr="00F94FA9">
        <w:rPr>
          <w:szCs w:val="24"/>
        </w:rPr>
        <w:tab/>
      </w:r>
      <w:r w:rsidRPr="00F94FA9">
        <w:rPr>
          <w:szCs w:val="24"/>
        </w:rPr>
        <w:tab/>
      </w:r>
    </w:p>
    <w:p w:rsidR="0056183F" w:rsidRPr="00F94FA9" w:rsidRDefault="004F0136" w:rsidP="006C0F94">
      <w:pPr>
        <w:spacing w:line="240" w:lineRule="auto"/>
        <w:contextualSpacing/>
        <w:mirrorIndents/>
        <w:rPr>
          <w:szCs w:val="24"/>
        </w:rPr>
      </w:pPr>
      <w:r w:rsidRPr="00F94FA9">
        <w:rPr>
          <w:rFonts w:ascii="Symbol" w:hAnsi="Symbol"/>
          <w:szCs w:val="24"/>
        </w:rPr>
        <w:t></w:t>
      </w:r>
      <w:r w:rsidRPr="00F94FA9">
        <w:rPr>
          <w:szCs w:val="24"/>
        </w:rPr>
        <w:t>m</w:t>
      </w:r>
      <w:r w:rsidRPr="00F94FA9">
        <w:rPr>
          <w:szCs w:val="24"/>
        </w:rPr>
        <w:tab/>
      </w:r>
      <w:r w:rsidRPr="00F94FA9">
        <w:rPr>
          <w:szCs w:val="24"/>
        </w:rPr>
        <w:tab/>
        <w:t>Micrometre</w:t>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MMA</w:t>
      </w:r>
      <w:r w:rsidRPr="00F94FA9">
        <w:rPr>
          <w:szCs w:val="24"/>
        </w:rPr>
        <w:tab/>
      </w:r>
      <w:r w:rsidRPr="00F94FA9">
        <w:rPr>
          <w:szCs w:val="24"/>
        </w:rPr>
        <w:tab/>
        <w:t>Monomethylarsonic acid</w:t>
      </w:r>
      <w:r w:rsidRPr="00F94FA9">
        <w:rPr>
          <w:szCs w:val="24"/>
        </w:rPr>
        <w:tab/>
      </w:r>
      <w:r w:rsidRPr="00F94FA9">
        <w:rPr>
          <w:szCs w:val="24"/>
        </w:rPr>
        <w:tab/>
      </w:r>
      <w:r w:rsidRPr="00F94FA9">
        <w:rPr>
          <w:szCs w:val="24"/>
        </w:rPr>
        <w:tab/>
      </w:r>
    </w:p>
    <w:p w:rsidR="008C1D30" w:rsidRPr="00F94FA9" w:rsidRDefault="0056183F" w:rsidP="006C0F94">
      <w:pPr>
        <w:spacing w:line="240" w:lineRule="auto"/>
        <w:contextualSpacing/>
        <w:mirrorIndents/>
        <w:rPr>
          <w:szCs w:val="24"/>
        </w:rPr>
      </w:pPr>
      <w:r w:rsidRPr="00F94FA9">
        <w:rPr>
          <w:szCs w:val="24"/>
        </w:rPr>
        <w:t>Mn</w:t>
      </w:r>
      <w:r w:rsidRPr="00F94FA9">
        <w:rPr>
          <w:szCs w:val="24"/>
        </w:rPr>
        <w:tab/>
      </w:r>
      <w:r w:rsidRPr="00F94FA9">
        <w:rPr>
          <w:szCs w:val="24"/>
        </w:rPr>
        <w:tab/>
        <w:t>Manganese</w:t>
      </w:r>
      <w:r w:rsidRPr="00F94FA9">
        <w:rPr>
          <w:szCs w:val="24"/>
        </w:rPr>
        <w:tab/>
      </w:r>
    </w:p>
    <w:p w:rsidR="000C798B" w:rsidRPr="00F94FA9" w:rsidRDefault="000C798B" w:rsidP="006C0F94">
      <w:pPr>
        <w:spacing w:line="240" w:lineRule="auto"/>
        <w:contextualSpacing/>
        <w:mirrorIndents/>
        <w:rPr>
          <w:szCs w:val="24"/>
        </w:rPr>
      </w:pPr>
      <w:r w:rsidRPr="00F94FA9">
        <w:rPr>
          <w:szCs w:val="24"/>
        </w:rPr>
        <w:t>MP</w:t>
      </w:r>
      <w:r w:rsidRPr="00F94FA9">
        <w:rPr>
          <w:szCs w:val="24"/>
        </w:rPr>
        <w:tab/>
      </w:r>
      <w:r w:rsidRPr="00F94FA9">
        <w:rPr>
          <w:szCs w:val="24"/>
        </w:rPr>
        <w:tab/>
        <w:t>Microplastic</w:t>
      </w:r>
    </w:p>
    <w:p w:rsidR="0056183F" w:rsidRPr="00F94FA9" w:rsidRDefault="008C1D30" w:rsidP="006C0F94">
      <w:pPr>
        <w:spacing w:line="240" w:lineRule="auto"/>
        <w:contextualSpacing/>
        <w:mirrorIndents/>
        <w:rPr>
          <w:szCs w:val="24"/>
        </w:rPr>
      </w:pPr>
      <w:r w:rsidRPr="00F94FA9">
        <w:rPr>
          <w:szCs w:val="24"/>
        </w:rPr>
        <w:t>mRNA</w:t>
      </w:r>
      <w:r w:rsidRPr="00F94FA9">
        <w:rPr>
          <w:szCs w:val="24"/>
        </w:rPr>
        <w:tab/>
      </w:r>
      <w:r w:rsidRPr="00F94FA9">
        <w:rPr>
          <w:szCs w:val="24"/>
        </w:rPr>
        <w:tab/>
        <w:t>Messenger RNA</w:t>
      </w:r>
      <w:r w:rsidR="0056183F" w:rsidRPr="00F94FA9">
        <w:rPr>
          <w:szCs w:val="24"/>
        </w:rPr>
        <w:tab/>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MS</w:t>
      </w:r>
      <w:r w:rsidRPr="00F94FA9">
        <w:rPr>
          <w:szCs w:val="24"/>
        </w:rPr>
        <w:tab/>
      </w:r>
      <w:r w:rsidRPr="00F94FA9">
        <w:rPr>
          <w:szCs w:val="24"/>
        </w:rPr>
        <w:tab/>
        <w:t>Mass spectrometry</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nM</w:t>
      </w:r>
      <w:r w:rsidRPr="00F94FA9">
        <w:rPr>
          <w:szCs w:val="24"/>
        </w:rPr>
        <w:tab/>
      </w:r>
      <w:r w:rsidRPr="00F94FA9">
        <w:rPr>
          <w:szCs w:val="24"/>
        </w:rPr>
        <w:tab/>
        <w:t>Nanomolar</w:t>
      </w:r>
      <w:r w:rsidRPr="00F94FA9">
        <w:rPr>
          <w:szCs w:val="24"/>
        </w:rPr>
        <w:tab/>
      </w:r>
      <w:r w:rsidRPr="00F94FA9">
        <w:rPr>
          <w:szCs w:val="24"/>
        </w:rPr>
        <w:tab/>
      </w:r>
      <w:r w:rsidRPr="00F94FA9">
        <w:rPr>
          <w:szCs w:val="24"/>
        </w:rPr>
        <w:tab/>
      </w:r>
    </w:p>
    <w:p w:rsidR="00823F15" w:rsidRPr="00F94FA9" w:rsidRDefault="00823F15" w:rsidP="006C0F94">
      <w:pPr>
        <w:spacing w:line="240" w:lineRule="auto"/>
        <w:contextualSpacing/>
        <w:mirrorIndents/>
        <w:rPr>
          <w:szCs w:val="24"/>
        </w:rPr>
      </w:pPr>
      <w:r w:rsidRPr="00F94FA9">
        <w:rPr>
          <w:szCs w:val="24"/>
        </w:rPr>
        <w:t>NO</w:t>
      </w:r>
      <w:r w:rsidRPr="00F94FA9">
        <w:rPr>
          <w:szCs w:val="24"/>
        </w:rPr>
        <w:tab/>
      </w:r>
      <w:r w:rsidRPr="00F94FA9">
        <w:rPr>
          <w:szCs w:val="24"/>
        </w:rPr>
        <w:tab/>
        <w:t>Nitric oxide</w:t>
      </w:r>
      <w:r w:rsidRPr="00F94FA9">
        <w:rPr>
          <w:szCs w:val="24"/>
        </w:rPr>
        <w:tab/>
      </w:r>
    </w:p>
    <w:p w:rsidR="00C72B13" w:rsidRPr="00F94FA9" w:rsidRDefault="0056183F" w:rsidP="006C0F94">
      <w:pPr>
        <w:spacing w:line="240" w:lineRule="auto"/>
        <w:contextualSpacing/>
        <w:mirrorIndents/>
        <w:rPr>
          <w:szCs w:val="24"/>
        </w:rPr>
      </w:pPr>
      <w:r w:rsidRPr="00F94FA9">
        <w:rPr>
          <w:szCs w:val="24"/>
        </w:rPr>
        <w:t>NOAEL</w:t>
      </w:r>
      <w:r w:rsidRPr="00F94FA9">
        <w:rPr>
          <w:szCs w:val="24"/>
        </w:rPr>
        <w:tab/>
        <w:t>No-observed-adverse-effect-level</w:t>
      </w:r>
      <w:r w:rsidRPr="00F94FA9">
        <w:rPr>
          <w:szCs w:val="24"/>
        </w:rPr>
        <w:tab/>
      </w:r>
    </w:p>
    <w:p w:rsidR="0056183F" w:rsidRDefault="00823F15" w:rsidP="006C0F94">
      <w:pPr>
        <w:spacing w:line="240" w:lineRule="auto"/>
        <w:contextualSpacing/>
        <w:mirrorIndents/>
        <w:rPr>
          <w:szCs w:val="24"/>
        </w:rPr>
      </w:pPr>
      <w:r w:rsidRPr="00F94FA9">
        <w:rPr>
          <w:szCs w:val="24"/>
        </w:rPr>
        <w:t>NOD</w:t>
      </w:r>
      <w:r w:rsidR="0056183F" w:rsidRPr="00F94FA9">
        <w:rPr>
          <w:szCs w:val="24"/>
        </w:rPr>
        <w:tab/>
      </w:r>
      <w:r w:rsidRPr="00F94FA9">
        <w:rPr>
          <w:szCs w:val="24"/>
        </w:rPr>
        <w:tab/>
        <w:t>Interbacterial flav</w:t>
      </w:r>
      <w:r w:rsidR="008449DA">
        <w:rPr>
          <w:szCs w:val="24"/>
        </w:rPr>
        <w:t>o</w:t>
      </w:r>
      <w:r w:rsidRPr="00F94FA9">
        <w:rPr>
          <w:szCs w:val="24"/>
        </w:rPr>
        <w:t>noid signalling receptor</w:t>
      </w:r>
    </w:p>
    <w:p w:rsidR="008449DA" w:rsidRDefault="008449DA" w:rsidP="006C0F94">
      <w:pPr>
        <w:spacing w:line="240" w:lineRule="auto"/>
        <w:contextualSpacing/>
        <w:mirrorIndents/>
        <w:rPr>
          <w:szCs w:val="24"/>
        </w:rPr>
      </w:pPr>
      <w:r>
        <w:rPr>
          <w:szCs w:val="24"/>
        </w:rPr>
        <w:t>NP</w:t>
      </w:r>
      <w:r>
        <w:rPr>
          <w:szCs w:val="24"/>
        </w:rPr>
        <w:tab/>
      </w:r>
      <w:r>
        <w:rPr>
          <w:szCs w:val="24"/>
        </w:rPr>
        <w:tab/>
        <w:t>Nanoparticle</w:t>
      </w:r>
    </w:p>
    <w:p w:rsidR="00AE5418" w:rsidRPr="00F94FA9" w:rsidRDefault="00AE5418" w:rsidP="006C0F94">
      <w:pPr>
        <w:spacing w:line="240" w:lineRule="auto"/>
        <w:contextualSpacing/>
        <w:mirrorIndents/>
        <w:rPr>
          <w:szCs w:val="24"/>
        </w:rPr>
      </w:pPr>
      <w:r>
        <w:rPr>
          <w:szCs w:val="24"/>
        </w:rPr>
        <w:t>NSAID</w:t>
      </w:r>
      <w:r>
        <w:rPr>
          <w:szCs w:val="24"/>
        </w:rPr>
        <w:tab/>
        <w:t>Non-steroidal anti-inflammatory drug</w:t>
      </w:r>
    </w:p>
    <w:p w:rsidR="008E6925" w:rsidRPr="00F94FA9" w:rsidRDefault="008E6925" w:rsidP="006C0F94">
      <w:pPr>
        <w:spacing w:line="240" w:lineRule="auto"/>
        <w:contextualSpacing/>
        <w:mirrorIndents/>
        <w:rPr>
          <w:szCs w:val="24"/>
        </w:rPr>
      </w:pPr>
      <w:r w:rsidRPr="00F94FA9">
        <w:rPr>
          <w:szCs w:val="24"/>
        </w:rPr>
        <w:t>OP</w:t>
      </w:r>
      <w:r w:rsidRPr="00F94FA9">
        <w:rPr>
          <w:szCs w:val="24"/>
        </w:rPr>
        <w:tab/>
      </w:r>
      <w:r w:rsidRPr="00F94FA9">
        <w:rPr>
          <w:szCs w:val="24"/>
        </w:rPr>
        <w:tab/>
        <w:t>Organophosphate</w:t>
      </w:r>
    </w:p>
    <w:p w:rsidR="0056183F" w:rsidRPr="00F94FA9" w:rsidRDefault="0056183F" w:rsidP="006C0F94">
      <w:pPr>
        <w:spacing w:line="240" w:lineRule="auto"/>
        <w:contextualSpacing/>
        <w:mirrorIndents/>
        <w:rPr>
          <w:szCs w:val="24"/>
        </w:rPr>
      </w:pPr>
      <w:r w:rsidRPr="00F94FA9">
        <w:rPr>
          <w:szCs w:val="24"/>
        </w:rPr>
        <w:t>p,p-DDE</w:t>
      </w:r>
      <w:r w:rsidRPr="00F94FA9">
        <w:rPr>
          <w:szCs w:val="24"/>
        </w:rPr>
        <w:tab/>
        <w:t>Dichlorodiphenylethylene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PAH</w:t>
      </w:r>
      <w:r w:rsidRPr="00F94FA9">
        <w:rPr>
          <w:szCs w:val="24"/>
        </w:rPr>
        <w:tab/>
      </w:r>
      <w:r w:rsidRPr="00F94FA9">
        <w:rPr>
          <w:szCs w:val="24"/>
        </w:rPr>
        <w:tab/>
        <w:t>Polycyclic aromatic hydrocarbon</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Pb</w:t>
      </w:r>
      <w:r w:rsidRPr="00F94FA9">
        <w:rPr>
          <w:szCs w:val="24"/>
        </w:rPr>
        <w:tab/>
      </w:r>
      <w:r w:rsidRPr="00F94FA9">
        <w:rPr>
          <w:szCs w:val="24"/>
        </w:rPr>
        <w:tab/>
        <w:t>Lead</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PBDE</w:t>
      </w:r>
      <w:r w:rsidRPr="00F94FA9">
        <w:rPr>
          <w:szCs w:val="24"/>
        </w:rPr>
        <w:tab/>
      </w:r>
      <w:r w:rsidRPr="00F94FA9">
        <w:rPr>
          <w:szCs w:val="24"/>
        </w:rPr>
        <w:tab/>
        <w:t>Polybrominated diphenylether</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PBS</w:t>
      </w:r>
      <w:r w:rsidRPr="00F94FA9">
        <w:rPr>
          <w:szCs w:val="24"/>
        </w:rPr>
        <w:tab/>
      </w:r>
      <w:r w:rsidRPr="00F94FA9">
        <w:rPr>
          <w:szCs w:val="24"/>
        </w:rPr>
        <w:tab/>
        <w:t>Phosphate-buffered saline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PCB</w:t>
      </w:r>
      <w:r w:rsidRPr="00F94FA9">
        <w:rPr>
          <w:szCs w:val="24"/>
        </w:rPr>
        <w:tab/>
      </w:r>
      <w:r w:rsidRPr="00F94FA9">
        <w:rPr>
          <w:szCs w:val="24"/>
        </w:rPr>
        <w:tab/>
        <w:t>Polychlorinated bisphenyl</w:t>
      </w:r>
      <w:r w:rsidRPr="00F94FA9">
        <w:rPr>
          <w:szCs w:val="24"/>
        </w:rPr>
        <w:tab/>
      </w:r>
      <w:r w:rsidRPr="00F94FA9">
        <w:rPr>
          <w:szCs w:val="24"/>
        </w:rPr>
        <w:tab/>
      </w:r>
      <w:r w:rsidRPr="00F94FA9">
        <w:rPr>
          <w:szCs w:val="24"/>
        </w:rPr>
        <w:tab/>
      </w:r>
    </w:p>
    <w:p w:rsidR="00103A84" w:rsidRPr="00F94FA9" w:rsidRDefault="00103A84" w:rsidP="006C0F94">
      <w:pPr>
        <w:spacing w:line="240" w:lineRule="auto"/>
        <w:contextualSpacing/>
        <w:mirrorIndents/>
        <w:rPr>
          <w:szCs w:val="24"/>
        </w:rPr>
      </w:pPr>
      <w:r w:rsidRPr="00F94FA9">
        <w:rPr>
          <w:szCs w:val="24"/>
        </w:rPr>
        <w:t>PCR</w:t>
      </w:r>
      <w:r w:rsidRPr="00F94FA9">
        <w:rPr>
          <w:szCs w:val="24"/>
        </w:rPr>
        <w:tab/>
      </w:r>
      <w:r w:rsidRPr="00F94FA9">
        <w:rPr>
          <w:szCs w:val="24"/>
        </w:rPr>
        <w:tab/>
        <w:t>Polymerase chain reaction</w:t>
      </w:r>
    </w:p>
    <w:p w:rsidR="0049551F" w:rsidRPr="00F94FA9" w:rsidRDefault="0049551F" w:rsidP="006C0F94">
      <w:pPr>
        <w:spacing w:line="240" w:lineRule="auto"/>
        <w:contextualSpacing/>
        <w:mirrorIndents/>
        <w:rPr>
          <w:szCs w:val="24"/>
        </w:rPr>
      </w:pPr>
      <w:r w:rsidRPr="00F94FA9">
        <w:rPr>
          <w:szCs w:val="24"/>
        </w:rPr>
        <w:t>PD</w:t>
      </w:r>
      <w:r w:rsidRPr="00F94FA9">
        <w:rPr>
          <w:szCs w:val="24"/>
        </w:rPr>
        <w:tab/>
      </w:r>
      <w:r w:rsidRPr="00F94FA9">
        <w:rPr>
          <w:szCs w:val="24"/>
        </w:rPr>
        <w:tab/>
        <w:t xml:space="preserve">Parkinson’s </w:t>
      </w:r>
      <w:r w:rsidR="00B42EF3" w:rsidRPr="00F94FA9">
        <w:rPr>
          <w:szCs w:val="24"/>
        </w:rPr>
        <w:t>d</w:t>
      </w:r>
      <w:r w:rsidRPr="00F94FA9">
        <w:rPr>
          <w:szCs w:val="24"/>
        </w:rPr>
        <w:t>isease</w:t>
      </w:r>
    </w:p>
    <w:p w:rsidR="0056183F" w:rsidRPr="00F94FA9" w:rsidRDefault="0056183F" w:rsidP="006C0F94">
      <w:pPr>
        <w:spacing w:line="240" w:lineRule="auto"/>
        <w:contextualSpacing/>
        <w:mirrorIndents/>
        <w:rPr>
          <w:szCs w:val="24"/>
        </w:rPr>
      </w:pPr>
      <w:r w:rsidRPr="00F94FA9">
        <w:rPr>
          <w:szCs w:val="24"/>
        </w:rPr>
        <w:t>PFOS</w:t>
      </w:r>
      <w:r w:rsidRPr="00F94FA9">
        <w:rPr>
          <w:szCs w:val="24"/>
        </w:rPr>
        <w:tab/>
      </w:r>
      <w:r w:rsidRPr="00F94FA9">
        <w:rPr>
          <w:szCs w:val="24"/>
        </w:rPr>
        <w:tab/>
        <w:t xml:space="preserve">Perfluorooctane </w:t>
      </w:r>
      <w:r w:rsidR="00056900" w:rsidRPr="00F94FA9">
        <w:rPr>
          <w:szCs w:val="24"/>
        </w:rPr>
        <w:t>sul</w:t>
      </w:r>
      <w:r w:rsidR="00056900">
        <w:rPr>
          <w:szCs w:val="24"/>
        </w:rPr>
        <w:t>f</w:t>
      </w:r>
      <w:r w:rsidR="00056900" w:rsidRPr="00F94FA9">
        <w:rPr>
          <w:szCs w:val="24"/>
        </w:rPr>
        <w:t xml:space="preserve">onic </w:t>
      </w:r>
      <w:r w:rsidRPr="00F94FA9">
        <w:rPr>
          <w:szCs w:val="24"/>
        </w:rPr>
        <w:t>acid</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PhIP</w:t>
      </w:r>
      <w:r w:rsidRPr="00F94FA9">
        <w:rPr>
          <w:szCs w:val="24"/>
        </w:rPr>
        <w:tab/>
      </w:r>
      <w:r w:rsidRPr="00F94FA9">
        <w:rPr>
          <w:szCs w:val="24"/>
        </w:rPr>
        <w:tab/>
        <w:t>2-amino-1-methyl-6-phenylimidazole[4,5-b]pyridine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PiP3</w:t>
      </w:r>
      <w:r w:rsidRPr="00F94FA9">
        <w:rPr>
          <w:szCs w:val="24"/>
        </w:rPr>
        <w:tab/>
      </w:r>
      <w:r w:rsidRPr="00F94FA9">
        <w:rPr>
          <w:szCs w:val="24"/>
        </w:rPr>
        <w:tab/>
        <w:t>Phosphatidylinositol-3,4,5-trisphosphate</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PM</w:t>
      </w:r>
      <w:r w:rsidRPr="00F94FA9">
        <w:rPr>
          <w:szCs w:val="24"/>
        </w:rPr>
        <w:tab/>
      </w:r>
      <w:r w:rsidRPr="00F94FA9">
        <w:rPr>
          <w:szCs w:val="24"/>
        </w:rPr>
        <w:tab/>
        <w:t>Propamocarb</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PM2.5, 10</w:t>
      </w:r>
      <w:r w:rsidRPr="00F94FA9">
        <w:rPr>
          <w:szCs w:val="24"/>
        </w:rPr>
        <w:tab/>
        <w:t xml:space="preserve">Airborne particles of 2.5, 10 </w:t>
      </w:r>
      <w:r w:rsidRPr="00F94FA9">
        <w:rPr>
          <w:rFonts w:ascii="Symbol" w:hAnsi="Symbol"/>
          <w:szCs w:val="24"/>
        </w:rPr>
        <w:t></w:t>
      </w:r>
      <w:r w:rsidRPr="00F94FA9">
        <w:rPr>
          <w:szCs w:val="24"/>
        </w:rPr>
        <w:t>m diameter</w:t>
      </w:r>
      <w:r w:rsidRPr="00F94FA9">
        <w:rPr>
          <w:szCs w:val="24"/>
        </w:rPr>
        <w:tab/>
      </w:r>
      <w:r w:rsidRPr="00F94FA9">
        <w:rPr>
          <w:szCs w:val="24"/>
        </w:rPr>
        <w:tab/>
      </w:r>
      <w:r w:rsidRPr="00F94FA9">
        <w:rPr>
          <w:szCs w:val="24"/>
        </w:rPr>
        <w:tab/>
      </w:r>
    </w:p>
    <w:p w:rsidR="0049551F" w:rsidRPr="00F94FA9" w:rsidRDefault="0049551F" w:rsidP="006C0F94">
      <w:pPr>
        <w:spacing w:line="240" w:lineRule="auto"/>
        <w:contextualSpacing/>
        <w:mirrorIndents/>
        <w:rPr>
          <w:szCs w:val="24"/>
        </w:rPr>
      </w:pPr>
      <w:r w:rsidRPr="00F94FA9">
        <w:rPr>
          <w:szCs w:val="24"/>
        </w:rPr>
        <w:t>PND</w:t>
      </w:r>
      <w:r w:rsidRPr="00F94FA9">
        <w:rPr>
          <w:szCs w:val="24"/>
        </w:rPr>
        <w:tab/>
      </w:r>
      <w:r w:rsidRPr="00F94FA9">
        <w:rPr>
          <w:szCs w:val="24"/>
        </w:rPr>
        <w:tab/>
        <w:t xml:space="preserve">Post-natal day </w:t>
      </w:r>
    </w:p>
    <w:p w:rsidR="0056183F" w:rsidRPr="00F94FA9" w:rsidRDefault="0056183F" w:rsidP="006C0F94">
      <w:pPr>
        <w:spacing w:line="240" w:lineRule="auto"/>
        <w:contextualSpacing/>
        <w:mirrorIndents/>
        <w:rPr>
          <w:szCs w:val="24"/>
        </w:rPr>
      </w:pPr>
      <w:r w:rsidRPr="00F94FA9">
        <w:rPr>
          <w:szCs w:val="24"/>
        </w:rPr>
        <w:t>PTEN</w:t>
      </w:r>
      <w:r w:rsidRPr="00F94FA9">
        <w:rPr>
          <w:szCs w:val="24"/>
        </w:rPr>
        <w:tab/>
      </w:r>
      <w:r w:rsidRPr="00F94FA9">
        <w:rPr>
          <w:szCs w:val="24"/>
        </w:rPr>
        <w:tab/>
        <w:t>Phosphatase and tensin homolog</w:t>
      </w:r>
      <w:r w:rsidRPr="00F94FA9">
        <w:rPr>
          <w:szCs w:val="24"/>
        </w:rPr>
        <w:tab/>
      </w:r>
      <w:r w:rsidRPr="00F94FA9">
        <w:rPr>
          <w:szCs w:val="24"/>
        </w:rPr>
        <w:tab/>
      </w:r>
      <w:r w:rsidRPr="00F94FA9">
        <w:rPr>
          <w:szCs w:val="24"/>
        </w:rPr>
        <w:tab/>
      </w:r>
    </w:p>
    <w:p w:rsidR="0099338A" w:rsidRPr="00F94FA9" w:rsidRDefault="0056183F" w:rsidP="006C0F94">
      <w:pPr>
        <w:spacing w:line="240" w:lineRule="auto"/>
        <w:contextualSpacing/>
        <w:mirrorIndents/>
        <w:rPr>
          <w:szCs w:val="24"/>
        </w:rPr>
      </w:pPr>
      <w:r w:rsidRPr="00F94FA9">
        <w:rPr>
          <w:szCs w:val="24"/>
        </w:rPr>
        <w:t>PXR</w:t>
      </w:r>
      <w:r w:rsidRPr="00F94FA9">
        <w:rPr>
          <w:szCs w:val="24"/>
        </w:rPr>
        <w:tab/>
      </w:r>
      <w:r w:rsidRPr="00F94FA9">
        <w:rPr>
          <w:szCs w:val="24"/>
        </w:rPr>
        <w:tab/>
        <w:t>Pregnane-X receptor</w:t>
      </w:r>
    </w:p>
    <w:p w:rsidR="0099338A" w:rsidRDefault="0099338A" w:rsidP="006C0F94">
      <w:pPr>
        <w:spacing w:line="240" w:lineRule="auto"/>
        <w:contextualSpacing/>
        <w:mirrorIndents/>
        <w:rPr>
          <w:szCs w:val="24"/>
        </w:rPr>
      </w:pPr>
      <w:r w:rsidRPr="00F94FA9">
        <w:rPr>
          <w:szCs w:val="24"/>
        </w:rPr>
        <w:t>Q-PCR</w:t>
      </w:r>
      <w:r w:rsidRPr="00F94FA9">
        <w:rPr>
          <w:szCs w:val="24"/>
        </w:rPr>
        <w:tab/>
        <w:t>Quantitative polymerase chain reaction (aka RT-PCR)</w:t>
      </w:r>
    </w:p>
    <w:p w:rsidR="004D51FD" w:rsidRPr="00F94FA9" w:rsidRDefault="004D51FD" w:rsidP="006C0F94">
      <w:pPr>
        <w:spacing w:line="240" w:lineRule="auto"/>
        <w:contextualSpacing/>
        <w:mirrorIndents/>
        <w:rPr>
          <w:szCs w:val="24"/>
        </w:rPr>
      </w:pPr>
      <w:r>
        <w:rPr>
          <w:szCs w:val="24"/>
        </w:rPr>
        <w:t>Reg III</w:t>
      </w:r>
      <w:r w:rsidR="000D27D2">
        <w:rPr>
          <w:szCs w:val="24"/>
        </w:rPr>
        <w:tab/>
      </w:r>
      <w:r w:rsidR="000D27D2">
        <w:rPr>
          <w:szCs w:val="24"/>
        </w:rPr>
        <w:tab/>
        <w:t>An antimicrobial lectin of the Regulatory protein, LysR-family</w:t>
      </w:r>
    </w:p>
    <w:p w:rsidR="0099338A" w:rsidRPr="00F94FA9" w:rsidRDefault="0099338A" w:rsidP="006C0F94">
      <w:pPr>
        <w:spacing w:line="240" w:lineRule="auto"/>
        <w:contextualSpacing/>
        <w:mirrorIndents/>
        <w:rPr>
          <w:szCs w:val="24"/>
        </w:rPr>
      </w:pPr>
      <w:r w:rsidRPr="00F94FA9">
        <w:rPr>
          <w:szCs w:val="24"/>
        </w:rPr>
        <w:t>RP-HPLC</w:t>
      </w:r>
      <w:r w:rsidRPr="00F94FA9">
        <w:rPr>
          <w:szCs w:val="24"/>
        </w:rPr>
        <w:tab/>
        <w:t>Reversed-phase high performance liquid chromatography</w:t>
      </w:r>
      <w:r w:rsidR="0056183F" w:rsidRPr="00F94FA9">
        <w:rPr>
          <w:szCs w:val="24"/>
        </w:rPr>
        <w:tab/>
      </w:r>
    </w:p>
    <w:p w:rsidR="008C1D30" w:rsidRPr="00F94FA9" w:rsidRDefault="0056183F" w:rsidP="006C0F94">
      <w:pPr>
        <w:spacing w:line="240" w:lineRule="auto"/>
        <w:contextualSpacing/>
        <w:mirrorIndents/>
        <w:rPr>
          <w:szCs w:val="24"/>
        </w:rPr>
      </w:pPr>
      <w:r w:rsidRPr="00F94FA9">
        <w:rPr>
          <w:szCs w:val="24"/>
        </w:rPr>
        <w:t>rRNA</w:t>
      </w:r>
      <w:r w:rsidRPr="00F94FA9">
        <w:rPr>
          <w:szCs w:val="24"/>
        </w:rPr>
        <w:tab/>
      </w:r>
      <w:r w:rsidRPr="00F94FA9">
        <w:rPr>
          <w:szCs w:val="24"/>
        </w:rPr>
        <w:tab/>
        <w:t>Ribosomal riboneucleic acid</w:t>
      </w:r>
      <w:r w:rsidRPr="00F94FA9">
        <w:rPr>
          <w:szCs w:val="24"/>
        </w:rPr>
        <w:tab/>
      </w:r>
    </w:p>
    <w:p w:rsidR="0056183F" w:rsidRPr="00F94FA9" w:rsidRDefault="008C1D30" w:rsidP="006C0F94">
      <w:pPr>
        <w:spacing w:line="240" w:lineRule="auto"/>
        <w:contextualSpacing/>
        <w:mirrorIndents/>
        <w:rPr>
          <w:szCs w:val="24"/>
        </w:rPr>
      </w:pPr>
      <w:r w:rsidRPr="00F94FA9">
        <w:rPr>
          <w:szCs w:val="24"/>
        </w:rPr>
        <w:t>RT-PCR</w:t>
      </w:r>
      <w:r w:rsidRPr="00F94FA9">
        <w:rPr>
          <w:szCs w:val="24"/>
        </w:rPr>
        <w:tab/>
        <w:t>Real-time polymerase chain reaction</w:t>
      </w:r>
      <w:r w:rsidR="0056183F" w:rsidRPr="00F94FA9">
        <w:rPr>
          <w:szCs w:val="24"/>
        </w:rPr>
        <w:tab/>
      </w:r>
      <w:r w:rsidR="0056183F" w:rsidRPr="00F94FA9">
        <w:rPr>
          <w:szCs w:val="24"/>
        </w:rPr>
        <w:tab/>
      </w:r>
    </w:p>
    <w:p w:rsidR="0049551F" w:rsidRPr="00F94FA9" w:rsidRDefault="0049551F" w:rsidP="006C0F94">
      <w:pPr>
        <w:spacing w:line="240" w:lineRule="auto"/>
        <w:contextualSpacing/>
        <w:mirrorIndents/>
        <w:rPr>
          <w:szCs w:val="24"/>
        </w:rPr>
      </w:pPr>
      <w:r w:rsidRPr="00F94FA9">
        <w:rPr>
          <w:szCs w:val="24"/>
        </w:rPr>
        <w:t>S</w:t>
      </w:r>
      <w:r w:rsidRPr="00F94FA9">
        <w:rPr>
          <w:szCs w:val="24"/>
        </w:rPr>
        <w:tab/>
      </w:r>
      <w:r w:rsidRPr="00F94FA9">
        <w:rPr>
          <w:szCs w:val="24"/>
        </w:rPr>
        <w:tab/>
        <w:t>Svedb</w:t>
      </w:r>
      <w:r w:rsidR="00B42EF3" w:rsidRPr="00F94FA9">
        <w:rPr>
          <w:szCs w:val="24"/>
        </w:rPr>
        <w:t>e</w:t>
      </w:r>
      <w:r w:rsidRPr="00F94FA9">
        <w:rPr>
          <w:szCs w:val="24"/>
        </w:rPr>
        <w:t xml:space="preserve">rg unit </w:t>
      </w:r>
      <w:r w:rsidR="00B42EF3" w:rsidRPr="00F94FA9">
        <w:rPr>
          <w:szCs w:val="24"/>
        </w:rPr>
        <w:t xml:space="preserve">of centrifugal sedimentation time </w:t>
      </w:r>
      <w:r w:rsidRPr="00F94FA9">
        <w:rPr>
          <w:szCs w:val="24"/>
        </w:rPr>
        <w:t>(10</w:t>
      </w:r>
      <w:r w:rsidRPr="00F94FA9">
        <w:rPr>
          <w:szCs w:val="24"/>
          <w:vertAlign w:val="superscript"/>
        </w:rPr>
        <w:t>-13</w:t>
      </w:r>
      <w:r w:rsidRPr="00F94FA9">
        <w:rPr>
          <w:szCs w:val="24"/>
        </w:rPr>
        <w:t xml:space="preserve"> seconds)</w:t>
      </w:r>
    </w:p>
    <w:p w:rsidR="0056183F" w:rsidRPr="00F94FA9" w:rsidRDefault="0056183F" w:rsidP="006C0F94">
      <w:pPr>
        <w:spacing w:line="240" w:lineRule="auto"/>
        <w:contextualSpacing/>
        <w:mirrorIndents/>
        <w:rPr>
          <w:szCs w:val="24"/>
        </w:rPr>
      </w:pPr>
      <w:r w:rsidRPr="00F94FA9">
        <w:rPr>
          <w:szCs w:val="24"/>
        </w:rPr>
        <w:t>SCFA</w:t>
      </w:r>
      <w:r w:rsidRPr="00F94FA9">
        <w:rPr>
          <w:szCs w:val="24"/>
        </w:rPr>
        <w:tab/>
      </w:r>
      <w:r w:rsidRPr="00F94FA9">
        <w:rPr>
          <w:szCs w:val="24"/>
        </w:rPr>
        <w:tab/>
        <w:t>Short-chain fatty acid</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SPF</w:t>
      </w:r>
      <w:r w:rsidRPr="00F94FA9">
        <w:rPr>
          <w:szCs w:val="24"/>
        </w:rPr>
        <w:tab/>
      </w:r>
      <w:r w:rsidRPr="00F94FA9">
        <w:rPr>
          <w:szCs w:val="24"/>
        </w:rPr>
        <w:tab/>
        <w:t>Specific-antigen-free</w:t>
      </w:r>
      <w:r w:rsidRPr="00F94FA9">
        <w:rPr>
          <w:szCs w:val="24"/>
        </w:rPr>
        <w:tab/>
      </w:r>
      <w:r w:rsidRPr="00F94FA9">
        <w:rPr>
          <w:szCs w:val="24"/>
        </w:rPr>
        <w:tab/>
      </w:r>
      <w:r w:rsidRPr="00F94FA9">
        <w:rPr>
          <w:szCs w:val="24"/>
        </w:rPr>
        <w:tab/>
      </w:r>
    </w:p>
    <w:p w:rsidR="000C798B" w:rsidRPr="00F94FA9" w:rsidRDefault="0056183F" w:rsidP="006C0F94">
      <w:pPr>
        <w:spacing w:line="240" w:lineRule="auto"/>
        <w:contextualSpacing/>
        <w:mirrorIndents/>
        <w:rPr>
          <w:szCs w:val="24"/>
        </w:rPr>
      </w:pPr>
      <w:r w:rsidRPr="00F94FA9">
        <w:rPr>
          <w:szCs w:val="24"/>
        </w:rPr>
        <w:t>spp</w:t>
      </w:r>
      <w:r w:rsidRPr="00F94FA9">
        <w:rPr>
          <w:szCs w:val="24"/>
        </w:rPr>
        <w:tab/>
      </w:r>
      <w:r w:rsidRPr="00F94FA9">
        <w:rPr>
          <w:szCs w:val="24"/>
        </w:rPr>
        <w:tab/>
        <w:t>Species (plural)</w:t>
      </w:r>
    </w:p>
    <w:p w:rsidR="0056183F" w:rsidRPr="00F94FA9" w:rsidRDefault="000C798B" w:rsidP="006C0F94">
      <w:pPr>
        <w:spacing w:line="240" w:lineRule="auto"/>
        <w:contextualSpacing/>
        <w:mirrorIndents/>
        <w:rPr>
          <w:szCs w:val="24"/>
        </w:rPr>
      </w:pPr>
      <w:r w:rsidRPr="00F94FA9">
        <w:rPr>
          <w:szCs w:val="24"/>
        </w:rPr>
        <w:t>Srebp1</w:t>
      </w:r>
      <w:r w:rsidRPr="00F94FA9">
        <w:rPr>
          <w:szCs w:val="24"/>
        </w:rPr>
        <w:tab/>
        <w:t>Sterol regulatory element-binding protein</w:t>
      </w:r>
      <w:r w:rsidR="0056183F" w:rsidRPr="00F94FA9">
        <w:rPr>
          <w:szCs w:val="24"/>
        </w:rPr>
        <w:tab/>
      </w:r>
      <w:r w:rsidR="0056183F" w:rsidRPr="00F94FA9">
        <w:rPr>
          <w:szCs w:val="24"/>
        </w:rPr>
        <w:tab/>
      </w:r>
      <w:r w:rsidR="0056183F" w:rsidRPr="00F94FA9">
        <w:rPr>
          <w:szCs w:val="24"/>
        </w:rPr>
        <w:tab/>
      </w:r>
    </w:p>
    <w:p w:rsidR="0056183F" w:rsidRPr="00F94FA9" w:rsidRDefault="0056183F" w:rsidP="006C0F94">
      <w:pPr>
        <w:spacing w:line="240" w:lineRule="auto"/>
        <w:contextualSpacing/>
        <w:mirrorIndents/>
        <w:rPr>
          <w:szCs w:val="24"/>
        </w:rPr>
      </w:pPr>
      <w:r w:rsidRPr="00F94FA9">
        <w:rPr>
          <w:szCs w:val="24"/>
        </w:rPr>
        <w:t>TCDD</w:t>
      </w:r>
      <w:r w:rsidRPr="00F94FA9">
        <w:rPr>
          <w:szCs w:val="24"/>
        </w:rPr>
        <w:tab/>
      </w:r>
      <w:r w:rsidRPr="00F94FA9">
        <w:rPr>
          <w:szCs w:val="24"/>
        </w:rPr>
        <w:tab/>
        <w:t>2,3,7,8-tetrachlorod</w:t>
      </w:r>
      <w:r w:rsidR="00CF6EE4" w:rsidRPr="00F94FA9">
        <w:rPr>
          <w:szCs w:val="24"/>
        </w:rPr>
        <w:t>i</w:t>
      </w:r>
      <w:r w:rsidRPr="00F94FA9">
        <w:rPr>
          <w:szCs w:val="24"/>
        </w:rPr>
        <w:t xml:space="preserve">benzo-p-dioxin </w:t>
      </w:r>
      <w:r w:rsidRPr="00F94FA9">
        <w:rPr>
          <w:szCs w:val="24"/>
        </w:rPr>
        <w:tab/>
      </w:r>
      <w:r w:rsidRPr="00F94FA9">
        <w:rPr>
          <w:szCs w:val="24"/>
        </w:rPr>
        <w:tab/>
      </w:r>
      <w:r w:rsidRPr="00F94FA9">
        <w:rPr>
          <w:szCs w:val="24"/>
        </w:rPr>
        <w:tab/>
      </w:r>
    </w:p>
    <w:p w:rsidR="0056183F" w:rsidRPr="00F94FA9" w:rsidRDefault="0056183F" w:rsidP="006C0F94">
      <w:pPr>
        <w:spacing w:line="240" w:lineRule="auto"/>
        <w:contextualSpacing/>
        <w:mirrorIndents/>
        <w:rPr>
          <w:szCs w:val="24"/>
        </w:rPr>
      </w:pPr>
      <w:r w:rsidRPr="00F94FA9">
        <w:rPr>
          <w:szCs w:val="24"/>
        </w:rPr>
        <w:t>TCDF</w:t>
      </w:r>
      <w:r w:rsidRPr="00F94FA9">
        <w:rPr>
          <w:szCs w:val="24"/>
        </w:rPr>
        <w:tab/>
      </w:r>
      <w:r w:rsidRPr="00F94FA9">
        <w:rPr>
          <w:szCs w:val="24"/>
        </w:rPr>
        <w:tab/>
        <w:t>2,3,7,8-tetrachlorod</w:t>
      </w:r>
      <w:r w:rsidR="00CF6EE4" w:rsidRPr="00F94FA9">
        <w:rPr>
          <w:szCs w:val="24"/>
        </w:rPr>
        <w:t>i</w:t>
      </w:r>
      <w:r w:rsidRPr="00F94FA9">
        <w:rPr>
          <w:szCs w:val="24"/>
        </w:rPr>
        <w:t xml:space="preserve">benzofuran </w:t>
      </w:r>
      <w:r w:rsidRPr="00F94FA9">
        <w:rPr>
          <w:szCs w:val="24"/>
        </w:rPr>
        <w:tab/>
      </w:r>
      <w:r w:rsidRPr="00F94FA9">
        <w:rPr>
          <w:szCs w:val="24"/>
        </w:rPr>
        <w:tab/>
      </w:r>
      <w:r w:rsidRPr="00F94FA9">
        <w:rPr>
          <w:szCs w:val="24"/>
        </w:rPr>
        <w:tab/>
      </w:r>
    </w:p>
    <w:p w:rsidR="00823F15" w:rsidRPr="00F94FA9" w:rsidRDefault="0056183F" w:rsidP="006C0F94">
      <w:pPr>
        <w:spacing w:line="240" w:lineRule="auto"/>
        <w:contextualSpacing/>
        <w:mirrorIndents/>
        <w:rPr>
          <w:szCs w:val="24"/>
        </w:rPr>
      </w:pPr>
      <w:r w:rsidRPr="00F94FA9">
        <w:rPr>
          <w:szCs w:val="24"/>
        </w:rPr>
        <w:t>TiO</w:t>
      </w:r>
      <w:r w:rsidRPr="00F94FA9">
        <w:rPr>
          <w:szCs w:val="24"/>
          <w:vertAlign w:val="subscript"/>
        </w:rPr>
        <w:t>2</w:t>
      </w:r>
      <w:r w:rsidRPr="00F94FA9">
        <w:rPr>
          <w:szCs w:val="24"/>
        </w:rPr>
        <w:tab/>
      </w:r>
      <w:r w:rsidRPr="00F94FA9">
        <w:rPr>
          <w:szCs w:val="24"/>
        </w:rPr>
        <w:tab/>
        <w:t>Titanium dioxide</w:t>
      </w:r>
    </w:p>
    <w:p w:rsidR="004F0136" w:rsidRPr="00F94FA9" w:rsidRDefault="00823F15" w:rsidP="006C0F94">
      <w:pPr>
        <w:spacing w:line="240" w:lineRule="auto"/>
        <w:contextualSpacing/>
        <w:mirrorIndents/>
        <w:rPr>
          <w:szCs w:val="24"/>
        </w:rPr>
      </w:pPr>
      <w:r w:rsidRPr="00F94FA9">
        <w:rPr>
          <w:szCs w:val="24"/>
        </w:rPr>
        <w:t>TLR</w:t>
      </w:r>
      <w:r w:rsidRPr="00F94FA9">
        <w:rPr>
          <w:szCs w:val="24"/>
        </w:rPr>
        <w:tab/>
      </w:r>
      <w:r w:rsidRPr="00F94FA9">
        <w:rPr>
          <w:szCs w:val="24"/>
        </w:rPr>
        <w:tab/>
        <w:t>Toll-like receptor</w:t>
      </w:r>
      <w:r w:rsidR="0056183F" w:rsidRPr="00F94FA9">
        <w:rPr>
          <w:szCs w:val="24"/>
        </w:rPr>
        <w:tab/>
      </w:r>
      <w:r w:rsidR="0056183F" w:rsidRPr="00F94FA9">
        <w:rPr>
          <w:szCs w:val="24"/>
        </w:rPr>
        <w:tab/>
      </w:r>
    </w:p>
    <w:p w:rsidR="0056183F" w:rsidRPr="00F94FA9" w:rsidRDefault="004F0136" w:rsidP="006C0F94">
      <w:pPr>
        <w:spacing w:line="240" w:lineRule="auto"/>
        <w:contextualSpacing/>
        <w:mirrorIndents/>
        <w:rPr>
          <w:szCs w:val="24"/>
        </w:rPr>
      </w:pPr>
      <w:r w:rsidRPr="00F94FA9">
        <w:rPr>
          <w:szCs w:val="24"/>
        </w:rPr>
        <w:t>TNF</w:t>
      </w:r>
      <w:r w:rsidRPr="00F94FA9">
        <w:rPr>
          <w:szCs w:val="24"/>
        </w:rPr>
        <w:tab/>
      </w:r>
      <w:r w:rsidRPr="00F94FA9">
        <w:rPr>
          <w:szCs w:val="24"/>
        </w:rPr>
        <w:tab/>
        <w:t xml:space="preserve">Tumour </w:t>
      </w:r>
      <w:r w:rsidR="0049551F" w:rsidRPr="00F94FA9">
        <w:rPr>
          <w:szCs w:val="24"/>
        </w:rPr>
        <w:t>n</w:t>
      </w:r>
      <w:r w:rsidRPr="00F94FA9">
        <w:rPr>
          <w:szCs w:val="24"/>
        </w:rPr>
        <w:t xml:space="preserve">ecrosis </w:t>
      </w:r>
      <w:r w:rsidR="0049551F" w:rsidRPr="00F94FA9">
        <w:rPr>
          <w:szCs w:val="24"/>
        </w:rPr>
        <w:t>f</w:t>
      </w:r>
      <w:r w:rsidRPr="00F94FA9">
        <w:rPr>
          <w:szCs w:val="24"/>
        </w:rPr>
        <w:t>actor</w:t>
      </w:r>
      <w:r w:rsidR="0056183F" w:rsidRPr="00F94FA9">
        <w:rPr>
          <w:szCs w:val="24"/>
        </w:rPr>
        <w:tab/>
      </w:r>
    </w:p>
    <w:p w:rsidR="00344325" w:rsidRPr="00F94FA9" w:rsidRDefault="0056183F" w:rsidP="006C0F94">
      <w:pPr>
        <w:spacing w:line="240" w:lineRule="auto"/>
        <w:contextualSpacing/>
        <w:mirrorIndents/>
        <w:rPr>
          <w:szCs w:val="24"/>
        </w:rPr>
      </w:pPr>
      <w:r w:rsidRPr="00F94FA9">
        <w:rPr>
          <w:szCs w:val="24"/>
        </w:rPr>
        <w:t>TOF</w:t>
      </w:r>
      <w:r w:rsidRPr="00F94FA9">
        <w:rPr>
          <w:szCs w:val="24"/>
        </w:rPr>
        <w:tab/>
      </w:r>
      <w:r w:rsidRPr="00F94FA9">
        <w:rPr>
          <w:szCs w:val="24"/>
        </w:rPr>
        <w:tab/>
        <w:t>Time-of-flight</w:t>
      </w:r>
      <w:r w:rsidRPr="00F94FA9">
        <w:rPr>
          <w:szCs w:val="24"/>
        </w:rPr>
        <w:tab/>
      </w:r>
    </w:p>
    <w:p w:rsidR="007D3BB1" w:rsidRPr="00F94FA9" w:rsidRDefault="007D3BB1" w:rsidP="006C0F94">
      <w:pPr>
        <w:spacing w:line="240" w:lineRule="auto"/>
        <w:contextualSpacing/>
        <w:mirrorIndents/>
        <w:rPr>
          <w:szCs w:val="24"/>
        </w:rPr>
      </w:pPr>
      <w:r w:rsidRPr="00F94FA9">
        <w:rPr>
          <w:szCs w:val="24"/>
        </w:rPr>
        <w:t>UDP</w:t>
      </w:r>
      <w:r w:rsidRPr="00F94FA9">
        <w:rPr>
          <w:szCs w:val="24"/>
        </w:rPr>
        <w:tab/>
      </w:r>
      <w:r w:rsidRPr="00F94FA9">
        <w:rPr>
          <w:szCs w:val="24"/>
        </w:rPr>
        <w:tab/>
        <w:t>Uridine diphosphate</w:t>
      </w:r>
    </w:p>
    <w:p w:rsidR="0056183F" w:rsidRPr="00F94FA9" w:rsidRDefault="00344325" w:rsidP="006C0F94">
      <w:pPr>
        <w:spacing w:line="240" w:lineRule="auto"/>
        <w:contextualSpacing/>
        <w:mirrorIndents/>
        <w:rPr>
          <w:szCs w:val="24"/>
        </w:rPr>
      </w:pPr>
      <w:r w:rsidRPr="00F94FA9">
        <w:rPr>
          <w:szCs w:val="24"/>
        </w:rPr>
        <w:t>UPLC</w:t>
      </w:r>
      <w:r w:rsidRPr="00F94FA9">
        <w:rPr>
          <w:szCs w:val="24"/>
        </w:rPr>
        <w:tab/>
      </w:r>
      <w:r w:rsidRPr="00F94FA9">
        <w:rPr>
          <w:szCs w:val="24"/>
        </w:rPr>
        <w:tab/>
        <w:t>Ultra Performance Liquid Chromatography</w:t>
      </w:r>
      <w:r w:rsidR="0056183F" w:rsidRPr="00F94FA9">
        <w:rPr>
          <w:szCs w:val="24"/>
        </w:rPr>
        <w:tab/>
      </w:r>
      <w:r w:rsidR="0056183F" w:rsidRPr="00F94FA9">
        <w:rPr>
          <w:szCs w:val="24"/>
        </w:rPr>
        <w:tab/>
      </w:r>
    </w:p>
    <w:p w:rsidR="005F2B92" w:rsidRPr="00F94FA9" w:rsidRDefault="0056183F" w:rsidP="006C0F94">
      <w:pPr>
        <w:spacing w:line="240" w:lineRule="auto"/>
        <w:contextualSpacing/>
        <w:mirrorIndents/>
        <w:rPr>
          <w:szCs w:val="24"/>
        </w:rPr>
      </w:pPr>
      <w:r w:rsidRPr="00F94FA9">
        <w:rPr>
          <w:szCs w:val="24"/>
        </w:rPr>
        <w:t>VLDL</w:t>
      </w:r>
      <w:r w:rsidRPr="00F94FA9">
        <w:rPr>
          <w:szCs w:val="24"/>
        </w:rPr>
        <w:tab/>
      </w:r>
      <w:r w:rsidRPr="00F94FA9">
        <w:rPr>
          <w:szCs w:val="24"/>
        </w:rPr>
        <w:tab/>
        <w:t>Very-low-density lipoproteins</w:t>
      </w:r>
      <w:r w:rsidRPr="00F94FA9">
        <w:rPr>
          <w:szCs w:val="24"/>
        </w:rPr>
        <w:tab/>
      </w:r>
    </w:p>
    <w:p w:rsidR="00D910FC" w:rsidRDefault="005F2B92" w:rsidP="006C0F94">
      <w:pPr>
        <w:spacing w:line="240" w:lineRule="auto"/>
        <w:contextualSpacing/>
        <w:mirrorIndents/>
        <w:rPr>
          <w:szCs w:val="24"/>
        </w:rPr>
      </w:pPr>
      <w:r w:rsidRPr="00F94FA9">
        <w:rPr>
          <w:szCs w:val="24"/>
        </w:rPr>
        <w:t>WHO</w:t>
      </w:r>
      <w:r w:rsidRPr="00F94FA9">
        <w:rPr>
          <w:szCs w:val="24"/>
        </w:rPr>
        <w:tab/>
      </w:r>
      <w:r w:rsidRPr="00F94FA9">
        <w:rPr>
          <w:szCs w:val="24"/>
        </w:rPr>
        <w:tab/>
        <w:t>World Health Organization</w:t>
      </w:r>
      <w:r w:rsidR="0056183F" w:rsidRPr="00F94FA9">
        <w:rPr>
          <w:szCs w:val="24"/>
        </w:rPr>
        <w:tab/>
      </w:r>
      <w:r w:rsidR="0056183F" w:rsidRPr="00F94FA9">
        <w:rPr>
          <w:szCs w:val="24"/>
        </w:rPr>
        <w:tab/>
      </w:r>
    </w:p>
    <w:p w:rsidR="00AE2D7F" w:rsidRDefault="00AE2D7F" w:rsidP="006C0F94">
      <w:pPr>
        <w:spacing w:line="240" w:lineRule="auto"/>
        <w:contextualSpacing/>
        <w:mirrorIndents/>
        <w:rPr>
          <w:szCs w:val="24"/>
        </w:rPr>
      </w:pPr>
    </w:p>
    <w:p w:rsidR="00AE2D7F" w:rsidRDefault="00AE2D7F" w:rsidP="006C0F94">
      <w:pPr>
        <w:spacing w:line="240" w:lineRule="auto"/>
        <w:contextualSpacing/>
        <w:mirrorIndents/>
        <w:rPr>
          <w:szCs w:val="24"/>
        </w:rPr>
      </w:pPr>
    </w:p>
    <w:p w:rsidR="00AE2D7F" w:rsidRDefault="00AE2D7F" w:rsidP="006573C0">
      <w:pPr>
        <w:rPr>
          <w:szCs w:val="24"/>
        </w:rPr>
      </w:pPr>
    </w:p>
    <w:p w:rsidR="00095242" w:rsidRDefault="00095242" w:rsidP="00AE2D7F">
      <w:pPr>
        <w:spacing w:before="240"/>
        <w:rPr>
          <w:szCs w:val="24"/>
        </w:rPr>
        <w:sectPr w:rsidR="00095242" w:rsidSect="003009F9">
          <w:headerReference w:type="default" r:id="rId29"/>
          <w:footerReference w:type="default" r:id="rId30"/>
          <w:pgSz w:w="11906" w:h="16838"/>
          <w:pgMar w:top="1440" w:right="1440" w:bottom="1440" w:left="1440" w:header="708" w:footer="708" w:gutter="0"/>
          <w:cols w:space="708"/>
          <w:docGrid w:linePitch="360"/>
        </w:sectPr>
      </w:pPr>
    </w:p>
    <w:p w:rsidR="00AE2D7F" w:rsidRDefault="00AE2D7F" w:rsidP="00AE2D7F">
      <w:pPr>
        <w:spacing w:before="240"/>
      </w:pPr>
      <w:r w:rsidRPr="00095242">
        <w:rPr>
          <w:szCs w:val="24"/>
        </w:rPr>
        <w:t>Table 1. Recently reported experiments on the effects of metals on the gut</w:t>
      </w:r>
      <w:r>
        <w:t xml:space="preserve"> microbiota of mice and rats</w:t>
      </w:r>
    </w:p>
    <w:tbl>
      <w:tblPr>
        <w:tblStyle w:val="TableGrid"/>
        <w:tblW w:w="12458" w:type="dxa"/>
        <w:tblLook w:val="04A0" w:firstRow="1" w:lastRow="0" w:firstColumn="1" w:lastColumn="0" w:noHBand="0" w:noVBand="1"/>
      </w:tblPr>
      <w:tblGrid>
        <w:gridCol w:w="1538"/>
        <w:gridCol w:w="1673"/>
        <w:gridCol w:w="7117"/>
        <w:gridCol w:w="2130"/>
      </w:tblGrid>
      <w:tr w:rsidR="00AE2D7F" w:rsidTr="00DD63C3">
        <w:tc>
          <w:tcPr>
            <w:tcW w:w="1539" w:type="dxa"/>
          </w:tcPr>
          <w:p w:rsidR="00AE2D7F" w:rsidRPr="009D1C7A" w:rsidRDefault="00AE2D7F" w:rsidP="00DD63C3">
            <w:pPr>
              <w:rPr>
                <w:rFonts w:cs="Arial"/>
                <w:sz w:val="20"/>
                <w:szCs w:val="20"/>
              </w:rPr>
            </w:pPr>
            <w:r w:rsidRPr="009D1C7A">
              <w:rPr>
                <w:rFonts w:cs="Arial"/>
                <w:sz w:val="20"/>
                <w:szCs w:val="20"/>
              </w:rPr>
              <w:t>Animal</w:t>
            </w:r>
          </w:p>
        </w:tc>
        <w:tc>
          <w:tcPr>
            <w:tcW w:w="1665" w:type="dxa"/>
          </w:tcPr>
          <w:p w:rsidR="00AE2D7F" w:rsidRPr="009D1C7A" w:rsidRDefault="00AE2D7F" w:rsidP="00DD63C3">
            <w:pPr>
              <w:rPr>
                <w:rFonts w:cs="Arial"/>
                <w:sz w:val="20"/>
                <w:szCs w:val="20"/>
              </w:rPr>
            </w:pPr>
            <w:r w:rsidRPr="009D1C7A">
              <w:rPr>
                <w:rFonts w:cs="Arial"/>
                <w:sz w:val="20"/>
                <w:szCs w:val="20"/>
              </w:rPr>
              <w:t>Metal</w:t>
            </w:r>
          </w:p>
        </w:tc>
        <w:tc>
          <w:tcPr>
            <w:tcW w:w="7123" w:type="dxa"/>
          </w:tcPr>
          <w:p w:rsidR="00AE2D7F" w:rsidRPr="009D1C7A" w:rsidRDefault="00AE2D7F" w:rsidP="00DD63C3">
            <w:pPr>
              <w:rPr>
                <w:rFonts w:cs="Arial"/>
                <w:sz w:val="20"/>
                <w:szCs w:val="20"/>
              </w:rPr>
            </w:pPr>
            <w:r w:rsidRPr="009D1C7A">
              <w:rPr>
                <w:rFonts w:cs="Arial"/>
                <w:sz w:val="20"/>
                <w:szCs w:val="20"/>
              </w:rPr>
              <w:t>Effect</w:t>
            </w:r>
          </w:p>
        </w:tc>
        <w:tc>
          <w:tcPr>
            <w:tcW w:w="2131" w:type="dxa"/>
          </w:tcPr>
          <w:p w:rsidR="00AE2D7F" w:rsidRPr="009D1C7A" w:rsidRDefault="00AE2D7F" w:rsidP="00DD63C3">
            <w:pPr>
              <w:rPr>
                <w:rFonts w:cs="Arial"/>
                <w:sz w:val="20"/>
                <w:szCs w:val="20"/>
              </w:rPr>
            </w:pPr>
            <w:r w:rsidRPr="009D1C7A">
              <w:rPr>
                <w:rFonts w:cs="Arial"/>
                <w:sz w:val="20"/>
                <w:szCs w:val="20"/>
              </w:rPr>
              <w:t>Reference</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r w:rsidRPr="009D1C7A">
              <w:rPr>
                <w:rFonts w:cs="Arial"/>
                <w:sz w:val="20"/>
                <w:szCs w:val="20"/>
              </w:rPr>
              <w:t>Iron</w:t>
            </w:r>
          </w:p>
        </w:tc>
        <w:tc>
          <w:tcPr>
            <w:tcW w:w="7123" w:type="dxa"/>
          </w:tcPr>
          <w:p w:rsidR="00AE2D7F" w:rsidRPr="009D1C7A" w:rsidRDefault="00AE2D7F" w:rsidP="00DD63C3">
            <w:pPr>
              <w:rPr>
                <w:rFonts w:cs="Arial"/>
                <w:sz w:val="20"/>
                <w:szCs w:val="20"/>
              </w:rPr>
            </w:pPr>
            <w:r w:rsidRPr="009D1C7A">
              <w:rPr>
                <w:rFonts w:cs="Arial"/>
                <w:sz w:val="20"/>
                <w:szCs w:val="20"/>
              </w:rPr>
              <w:t xml:space="preserve">Decrease in proinflammatory </w:t>
            </w:r>
            <w:r w:rsidRPr="009D1C7A">
              <w:rPr>
                <w:rFonts w:cs="Arial"/>
                <w:i/>
                <w:sz w:val="20"/>
                <w:szCs w:val="20"/>
              </w:rPr>
              <w:t>Desulfovibrio</w:t>
            </w:r>
            <w:r w:rsidRPr="009D1C7A">
              <w:rPr>
                <w:rFonts w:cs="Arial"/>
                <w:sz w:val="20"/>
                <w:szCs w:val="20"/>
              </w:rPr>
              <w:t xml:space="preserve">, increase in anti-inflammatory </w:t>
            </w:r>
            <w:r w:rsidRPr="009D1C7A">
              <w:rPr>
                <w:rFonts w:cs="Arial"/>
                <w:i/>
                <w:sz w:val="20"/>
                <w:szCs w:val="20"/>
              </w:rPr>
              <w:t>Bifidobacterium.</w:t>
            </w:r>
            <w:r w:rsidRPr="009D1C7A">
              <w:rPr>
                <w:rFonts w:cs="Arial"/>
                <w:sz w:val="20"/>
                <w:szCs w:val="20"/>
              </w:rPr>
              <w:t xml:space="preserve"> </w:t>
            </w:r>
          </w:p>
        </w:tc>
        <w:tc>
          <w:tcPr>
            <w:tcW w:w="2131" w:type="dxa"/>
          </w:tcPr>
          <w:p w:rsidR="00AE2D7F" w:rsidRPr="009D1C7A" w:rsidRDefault="00AE2D7F" w:rsidP="00DD63C3">
            <w:pPr>
              <w:ind w:right="-1552"/>
              <w:rPr>
                <w:rFonts w:cs="Arial"/>
                <w:sz w:val="20"/>
                <w:szCs w:val="20"/>
              </w:rPr>
            </w:pPr>
            <w:r w:rsidRPr="009D1C7A">
              <w:rPr>
                <w:rFonts w:cs="Arial"/>
                <w:sz w:val="20"/>
                <w:szCs w:val="20"/>
              </w:rPr>
              <w:t>Werner et al (2010)</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p>
        </w:tc>
        <w:tc>
          <w:tcPr>
            <w:tcW w:w="7123" w:type="dxa"/>
          </w:tcPr>
          <w:p w:rsidR="00AE2D7F" w:rsidRPr="009D1C7A" w:rsidRDefault="00AE2D7F" w:rsidP="00DD63C3">
            <w:pPr>
              <w:rPr>
                <w:rFonts w:cs="Arial"/>
                <w:sz w:val="20"/>
                <w:szCs w:val="20"/>
              </w:rPr>
            </w:pPr>
            <w:r w:rsidRPr="009D1C7A">
              <w:rPr>
                <w:rFonts w:cs="Arial"/>
                <w:sz w:val="20"/>
                <w:szCs w:val="20"/>
              </w:rPr>
              <w:t>Iron was pro-or anti-inflammatory depending on formulation, various genera changed</w:t>
            </w:r>
          </w:p>
        </w:tc>
        <w:tc>
          <w:tcPr>
            <w:tcW w:w="2131" w:type="dxa"/>
          </w:tcPr>
          <w:p w:rsidR="00AE2D7F" w:rsidRPr="009D1C7A" w:rsidRDefault="00AE2D7F" w:rsidP="00DD63C3">
            <w:pPr>
              <w:rPr>
                <w:rFonts w:cs="Arial"/>
                <w:sz w:val="20"/>
                <w:szCs w:val="20"/>
              </w:rPr>
            </w:pPr>
            <w:r w:rsidRPr="009D1C7A">
              <w:rPr>
                <w:rFonts w:cs="Arial"/>
                <w:sz w:val="20"/>
                <w:szCs w:val="20"/>
              </w:rPr>
              <w:t>Constante et al (2017)</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p>
        </w:tc>
        <w:tc>
          <w:tcPr>
            <w:tcW w:w="7123" w:type="dxa"/>
          </w:tcPr>
          <w:p w:rsidR="00AE2D7F" w:rsidRPr="009D1C7A" w:rsidRDefault="00AE2D7F" w:rsidP="00DD63C3">
            <w:pPr>
              <w:rPr>
                <w:rFonts w:cs="Arial"/>
                <w:sz w:val="20"/>
                <w:szCs w:val="20"/>
              </w:rPr>
            </w:pPr>
            <w:r w:rsidRPr="009D1C7A">
              <w:rPr>
                <w:rFonts w:cs="Arial"/>
                <w:sz w:val="20"/>
                <w:szCs w:val="20"/>
              </w:rPr>
              <w:t xml:space="preserve">Reduced </w:t>
            </w:r>
            <w:r w:rsidRPr="009D1C7A">
              <w:rPr>
                <w:rFonts w:cs="Arial"/>
                <w:i/>
                <w:sz w:val="20"/>
                <w:szCs w:val="20"/>
              </w:rPr>
              <w:t>Bacteroidetes</w:t>
            </w:r>
            <w:r w:rsidRPr="009D1C7A">
              <w:rPr>
                <w:rFonts w:cs="Arial"/>
                <w:sz w:val="20"/>
                <w:szCs w:val="20"/>
              </w:rPr>
              <w:t xml:space="preserve"> and </w:t>
            </w:r>
            <w:r w:rsidRPr="009D1C7A">
              <w:rPr>
                <w:rFonts w:cs="Arial"/>
                <w:i/>
                <w:sz w:val="20"/>
                <w:szCs w:val="20"/>
              </w:rPr>
              <w:t>Firmicutes,</w:t>
            </w:r>
            <w:r w:rsidRPr="009D1C7A">
              <w:rPr>
                <w:rFonts w:cs="Arial"/>
                <w:sz w:val="20"/>
                <w:szCs w:val="20"/>
              </w:rPr>
              <w:t xml:space="preserve"> increased </w:t>
            </w:r>
            <w:r w:rsidRPr="009D1C7A">
              <w:rPr>
                <w:rFonts w:cs="Arial"/>
                <w:i/>
                <w:sz w:val="20"/>
                <w:szCs w:val="20"/>
              </w:rPr>
              <w:t>Proteobacteria</w:t>
            </w:r>
            <w:r w:rsidRPr="009D1C7A">
              <w:rPr>
                <w:rFonts w:cs="Arial"/>
                <w:sz w:val="20"/>
                <w:szCs w:val="20"/>
              </w:rPr>
              <w:t xml:space="preserve"> and </w:t>
            </w:r>
            <w:r w:rsidRPr="009D1C7A">
              <w:rPr>
                <w:rFonts w:cs="Arial"/>
                <w:i/>
                <w:sz w:val="20"/>
                <w:szCs w:val="20"/>
              </w:rPr>
              <w:t>Actinobacteria</w:t>
            </w:r>
          </w:p>
        </w:tc>
        <w:tc>
          <w:tcPr>
            <w:tcW w:w="2131" w:type="dxa"/>
          </w:tcPr>
          <w:p w:rsidR="00AE2D7F" w:rsidRPr="009D1C7A" w:rsidRDefault="00AE2D7F" w:rsidP="00DD63C3">
            <w:pPr>
              <w:rPr>
                <w:rFonts w:cs="Arial"/>
                <w:sz w:val="20"/>
                <w:szCs w:val="20"/>
              </w:rPr>
            </w:pPr>
            <w:r w:rsidRPr="009D1C7A">
              <w:rPr>
                <w:rFonts w:cs="Arial"/>
                <w:sz w:val="20"/>
                <w:szCs w:val="20"/>
              </w:rPr>
              <w:t>Mahalal et al (2018)</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ICR mice</w:t>
            </w:r>
          </w:p>
        </w:tc>
        <w:tc>
          <w:tcPr>
            <w:tcW w:w="1665" w:type="dxa"/>
          </w:tcPr>
          <w:p w:rsidR="00AE2D7F" w:rsidRPr="009D1C7A" w:rsidRDefault="00AE2D7F" w:rsidP="00DD63C3">
            <w:pPr>
              <w:rPr>
                <w:rFonts w:cs="Arial"/>
                <w:sz w:val="20"/>
                <w:szCs w:val="20"/>
              </w:rPr>
            </w:pPr>
            <w:r w:rsidRPr="009D1C7A">
              <w:rPr>
                <w:rFonts w:cs="Arial"/>
                <w:sz w:val="20"/>
                <w:szCs w:val="20"/>
              </w:rPr>
              <w:t>Iron plus arsenic</w:t>
            </w:r>
          </w:p>
        </w:tc>
        <w:tc>
          <w:tcPr>
            <w:tcW w:w="7123" w:type="dxa"/>
          </w:tcPr>
          <w:p w:rsidR="00AE2D7F" w:rsidRPr="009D1C7A" w:rsidRDefault="00AE2D7F" w:rsidP="00DD63C3">
            <w:pPr>
              <w:rPr>
                <w:rFonts w:cs="Arial"/>
                <w:sz w:val="20"/>
                <w:szCs w:val="20"/>
              </w:rPr>
            </w:pPr>
            <w:r w:rsidRPr="009D1C7A">
              <w:rPr>
                <w:rFonts w:cs="Arial"/>
                <w:sz w:val="20"/>
                <w:szCs w:val="20"/>
              </w:rPr>
              <w:t xml:space="preserve">Increase in </w:t>
            </w:r>
            <w:r w:rsidRPr="009D1C7A">
              <w:rPr>
                <w:rFonts w:cs="Arial"/>
                <w:i/>
                <w:sz w:val="20"/>
                <w:szCs w:val="20"/>
              </w:rPr>
              <w:t>Firmicutes,</w:t>
            </w:r>
            <w:r w:rsidRPr="009D1C7A">
              <w:rPr>
                <w:rFonts w:cs="Arial"/>
                <w:sz w:val="20"/>
                <w:szCs w:val="20"/>
              </w:rPr>
              <w:t xml:space="preserve"> decrease in </w:t>
            </w:r>
            <w:r w:rsidRPr="009D1C7A">
              <w:rPr>
                <w:rFonts w:cs="Arial"/>
                <w:i/>
                <w:sz w:val="20"/>
                <w:szCs w:val="20"/>
              </w:rPr>
              <w:t>Bacteroidetes</w:t>
            </w:r>
            <w:r w:rsidRPr="009D1C7A">
              <w:rPr>
                <w:rFonts w:cs="Arial"/>
                <w:sz w:val="20"/>
                <w:szCs w:val="20"/>
              </w:rPr>
              <w:t xml:space="preserve"> and </w:t>
            </w:r>
            <w:r w:rsidRPr="009D1C7A">
              <w:rPr>
                <w:rFonts w:cs="Arial"/>
                <w:i/>
                <w:sz w:val="20"/>
                <w:szCs w:val="20"/>
              </w:rPr>
              <w:t>Actinobacteria</w:t>
            </w:r>
            <w:r w:rsidRPr="009D1C7A">
              <w:rPr>
                <w:rFonts w:cs="Arial"/>
                <w:sz w:val="20"/>
                <w:szCs w:val="20"/>
              </w:rPr>
              <w:t>.</w:t>
            </w:r>
          </w:p>
        </w:tc>
        <w:tc>
          <w:tcPr>
            <w:tcW w:w="2131" w:type="dxa"/>
          </w:tcPr>
          <w:p w:rsidR="00AE2D7F" w:rsidRPr="009D1C7A" w:rsidRDefault="00AE2D7F" w:rsidP="00DD63C3">
            <w:pPr>
              <w:rPr>
                <w:rFonts w:cs="Arial"/>
                <w:sz w:val="20"/>
                <w:szCs w:val="20"/>
              </w:rPr>
            </w:pPr>
            <w:r w:rsidRPr="009D1C7A">
              <w:rPr>
                <w:rFonts w:cs="Arial"/>
                <w:sz w:val="20"/>
                <w:szCs w:val="20"/>
              </w:rPr>
              <w:t>Guo et al (2014)</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r w:rsidRPr="009D1C7A">
              <w:rPr>
                <w:rFonts w:cs="Arial"/>
                <w:sz w:val="20"/>
                <w:szCs w:val="20"/>
              </w:rPr>
              <w:t>Arsenic</w:t>
            </w:r>
            <w:r w:rsidR="005856AE">
              <w:rPr>
                <w:rFonts w:cs="Arial"/>
                <w:sz w:val="20"/>
                <w:szCs w:val="20"/>
              </w:rPr>
              <w:t xml:space="preserve"> (10 ppm or250 ppm As over 5 weeks)</w:t>
            </w:r>
          </w:p>
        </w:tc>
        <w:tc>
          <w:tcPr>
            <w:tcW w:w="7123" w:type="dxa"/>
          </w:tcPr>
          <w:p w:rsidR="00AE2D7F" w:rsidRPr="009D1C7A" w:rsidRDefault="00AE2D7F" w:rsidP="00DD63C3">
            <w:pPr>
              <w:rPr>
                <w:rFonts w:cs="Arial"/>
                <w:sz w:val="20"/>
                <w:szCs w:val="20"/>
              </w:rPr>
            </w:pPr>
            <w:r w:rsidRPr="009D1C7A">
              <w:rPr>
                <w:rFonts w:cs="Arial"/>
                <w:sz w:val="20"/>
                <w:szCs w:val="20"/>
              </w:rPr>
              <w:t xml:space="preserve">Increase in </w:t>
            </w:r>
            <w:r w:rsidRPr="009D1C7A">
              <w:rPr>
                <w:rFonts w:cs="Arial"/>
                <w:i/>
                <w:sz w:val="20"/>
                <w:szCs w:val="20"/>
              </w:rPr>
              <w:t xml:space="preserve">Bacteroidia, </w:t>
            </w:r>
            <w:r w:rsidRPr="009D1C7A">
              <w:rPr>
                <w:rFonts w:cs="Arial"/>
                <w:sz w:val="20"/>
                <w:szCs w:val="20"/>
              </w:rPr>
              <w:t>decrease in</w:t>
            </w:r>
            <w:r w:rsidRPr="009D1C7A">
              <w:rPr>
                <w:rFonts w:cs="Arial"/>
                <w:i/>
                <w:sz w:val="20"/>
                <w:szCs w:val="20"/>
              </w:rPr>
              <w:t xml:space="preserve"> Clostridia classes</w:t>
            </w:r>
            <w:r w:rsidRPr="009D1C7A">
              <w:rPr>
                <w:rFonts w:cs="Arial"/>
                <w:sz w:val="20"/>
                <w:szCs w:val="20"/>
              </w:rPr>
              <w:t xml:space="preserve"> with minor classes growing or receding</w:t>
            </w:r>
            <w:r w:rsidR="00726ACA">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Dheer et al (2014)</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5856AE" w:rsidP="00DD63C3">
            <w:pPr>
              <w:rPr>
                <w:rFonts w:cs="Arial"/>
                <w:sz w:val="20"/>
                <w:szCs w:val="20"/>
              </w:rPr>
            </w:pPr>
            <w:r>
              <w:rPr>
                <w:rFonts w:cs="Arial"/>
                <w:sz w:val="20"/>
                <w:szCs w:val="20"/>
              </w:rPr>
              <w:t>(10 ppm As)</w:t>
            </w:r>
          </w:p>
        </w:tc>
        <w:tc>
          <w:tcPr>
            <w:tcW w:w="7123" w:type="dxa"/>
          </w:tcPr>
          <w:p w:rsidR="00AE2D7F" w:rsidRPr="009D1C7A" w:rsidRDefault="00AE2D7F" w:rsidP="00DD63C3">
            <w:pPr>
              <w:rPr>
                <w:rFonts w:cs="Arial"/>
                <w:sz w:val="20"/>
                <w:szCs w:val="20"/>
              </w:rPr>
            </w:pPr>
            <w:r w:rsidRPr="009D1C7A">
              <w:rPr>
                <w:rFonts w:cs="Arial"/>
                <w:sz w:val="20"/>
                <w:szCs w:val="20"/>
              </w:rPr>
              <w:t>In females, up-regulated Hg</w:t>
            </w:r>
            <w:r>
              <w:rPr>
                <w:rFonts w:cs="Arial"/>
                <w:sz w:val="20"/>
                <w:szCs w:val="20"/>
              </w:rPr>
              <w:t>-</w:t>
            </w:r>
            <w:r w:rsidRPr="009D1C7A">
              <w:rPr>
                <w:rFonts w:cs="Arial"/>
                <w:sz w:val="20"/>
                <w:szCs w:val="20"/>
              </w:rPr>
              <w:t xml:space="preserve"> for Zn</w:t>
            </w:r>
            <w:r>
              <w:rPr>
                <w:rFonts w:cs="Arial"/>
                <w:sz w:val="20"/>
                <w:szCs w:val="20"/>
              </w:rPr>
              <w:t>-</w:t>
            </w:r>
            <w:r w:rsidRPr="009D1C7A">
              <w:rPr>
                <w:rFonts w:cs="Arial"/>
                <w:sz w:val="20"/>
                <w:szCs w:val="20"/>
              </w:rPr>
              <w:t>resistance genes and trans-membrane transporters. In males, hexose phosphate uptake down-regulated and denitrification up-regulated</w:t>
            </w:r>
            <w:r w:rsidR="00A47AF2">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Chi et al (2016)</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r w:rsidRPr="009D1C7A">
              <w:rPr>
                <w:rFonts w:cs="Arial"/>
                <w:sz w:val="20"/>
                <w:szCs w:val="20"/>
              </w:rPr>
              <w:t>Arsenic with zinc deficiency</w:t>
            </w:r>
            <w:r w:rsidR="005856AE">
              <w:rPr>
                <w:rFonts w:cs="Arial"/>
                <w:sz w:val="20"/>
                <w:szCs w:val="20"/>
              </w:rPr>
              <w:t xml:space="preserve"> (50 &lt; 500 ppm As)</w:t>
            </w:r>
          </w:p>
        </w:tc>
        <w:tc>
          <w:tcPr>
            <w:tcW w:w="7123" w:type="dxa"/>
          </w:tcPr>
          <w:p w:rsidR="00AE2D7F" w:rsidRPr="009D1C7A" w:rsidRDefault="00AE2D7F" w:rsidP="00DD63C3">
            <w:pPr>
              <w:rPr>
                <w:rFonts w:cs="Arial"/>
                <w:sz w:val="20"/>
                <w:szCs w:val="20"/>
              </w:rPr>
            </w:pPr>
            <w:r w:rsidRPr="009D1C7A">
              <w:rPr>
                <w:rFonts w:cs="Arial"/>
                <w:sz w:val="20"/>
                <w:szCs w:val="20"/>
              </w:rPr>
              <w:t>Reduced levels of zinc sensitised the microbiota to the effects of arsenic. Zinc deficiency increased arsenic- induced DNA damage and oxidative stress</w:t>
            </w:r>
            <w:r w:rsidR="003B12B8">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Gaulke et al (2018)</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r w:rsidRPr="009D1C7A">
              <w:rPr>
                <w:rFonts w:cs="Arial"/>
                <w:sz w:val="20"/>
                <w:szCs w:val="20"/>
              </w:rPr>
              <w:t>Manganese</w:t>
            </w:r>
            <w:r w:rsidR="005856AE">
              <w:rPr>
                <w:rFonts w:cs="Arial"/>
                <w:sz w:val="20"/>
                <w:szCs w:val="20"/>
              </w:rPr>
              <w:t xml:space="preserve"> (20 mg Mn/kg bodyweight (bw)/day)</w:t>
            </w:r>
          </w:p>
        </w:tc>
        <w:tc>
          <w:tcPr>
            <w:tcW w:w="7123" w:type="dxa"/>
          </w:tcPr>
          <w:p w:rsidR="00AE2D7F" w:rsidRPr="009D1C7A" w:rsidRDefault="00AE2D7F" w:rsidP="00DD63C3">
            <w:pPr>
              <w:rPr>
                <w:rFonts w:cs="Arial"/>
                <w:sz w:val="20"/>
                <w:szCs w:val="20"/>
              </w:rPr>
            </w:pPr>
            <w:r w:rsidRPr="009D1C7A">
              <w:rPr>
                <w:rFonts w:cs="Arial"/>
                <w:sz w:val="20"/>
                <w:szCs w:val="20"/>
              </w:rPr>
              <w:t>Sex-specific disruption of the normal structure and function of the microbiota, changes to quorum-sensing affected population density, motility and virulence; and enriched some species; induction of oxidative stress, changed iron homeostasis</w:t>
            </w:r>
            <w:r w:rsidR="00D83429">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Chi et al (2017)</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Balb/c mice</w:t>
            </w:r>
          </w:p>
        </w:tc>
        <w:tc>
          <w:tcPr>
            <w:tcW w:w="1665" w:type="dxa"/>
          </w:tcPr>
          <w:p w:rsidR="00AE2D7F" w:rsidRPr="009D1C7A" w:rsidRDefault="00AE2D7F" w:rsidP="00DD63C3">
            <w:pPr>
              <w:rPr>
                <w:rFonts w:cs="Arial"/>
                <w:sz w:val="20"/>
                <w:szCs w:val="20"/>
              </w:rPr>
            </w:pPr>
            <w:r w:rsidRPr="009D1C7A">
              <w:rPr>
                <w:rFonts w:cs="Arial"/>
                <w:sz w:val="20"/>
                <w:szCs w:val="20"/>
              </w:rPr>
              <w:t>Cadmium</w:t>
            </w:r>
            <w:r w:rsidR="00A81B0E" w:rsidRPr="009D1C7A">
              <w:rPr>
                <w:rFonts w:cs="Arial"/>
                <w:sz w:val="20"/>
                <w:szCs w:val="20"/>
              </w:rPr>
              <w:t>.</w:t>
            </w:r>
            <w:r w:rsidR="00A81B0E">
              <w:rPr>
                <w:rFonts w:cs="Arial"/>
                <w:sz w:val="20"/>
                <w:szCs w:val="20"/>
              </w:rPr>
              <w:t>(23 to 50 mg Cd/kg bodyweight)</w:t>
            </w:r>
          </w:p>
        </w:tc>
        <w:tc>
          <w:tcPr>
            <w:tcW w:w="7123" w:type="dxa"/>
          </w:tcPr>
          <w:p w:rsidR="00AE2D7F" w:rsidRPr="009D1C7A" w:rsidRDefault="00AE2D7F" w:rsidP="00DD63C3">
            <w:pPr>
              <w:rPr>
                <w:rFonts w:cs="Arial"/>
                <w:sz w:val="20"/>
                <w:szCs w:val="20"/>
              </w:rPr>
            </w:pPr>
            <w:r w:rsidRPr="009D1C7A">
              <w:rPr>
                <w:rFonts w:cs="Arial"/>
                <w:sz w:val="20"/>
                <w:szCs w:val="20"/>
              </w:rPr>
              <w:t>Reduced titre of culturable anaerobic and aerobic bacteria in the small intestine, large intestine and rectum. Gram negative bacteria more resistant to cadmium than Gram positive</w:t>
            </w:r>
          </w:p>
        </w:tc>
        <w:tc>
          <w:tcPr>
            <w:tcW w:w="2131" w:type="dxa"/>
          </w:tcPr>
          <w:p w:rsidR="00AE2D7F" w:rsidRPr="009D1C7A" w:rsidRDefault="00AE2D7F" w:rsidP="00DD63C3">
            <w:pPr>
              <w:rPr>
                <w:rFonts w:cs="Arial"/>
                <w:sz w:val="20"/>
                <w:szCs w:val="20"/>
              </w:rPr>
            </w:pPr>
            <w:r w:rsidRPr="009D1C7A">
              <w:rPr>
                <w:rFonts w:cs="Arial"/>
                <w:sz w:val="20"/>
                <w:szCs w:val="20"/>
              </w:rPr>
              <w:t>Fazeli et al (2011)</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Balb/c mice</w:t>
            </w:r>
          </w:p>
        </w:tc>
        <w:tc>
          <w:tcPr>
            <w:tcW w:w="1665" w:type="dxa"/>
          </w:tcPr>
          <w:p w:rsidR="00AE2D7F" w:rsidRPr="009D1C7A" w:rsidRDefault="00A81B0E" w:rsidP="00DD63C3">
            <w:pPr>
              <w:rPr>
                <w:rFonts w:cs="Arial"/>
                <w:sz w:val="20"/>
                <w:szCs w:val="20"/>
              </w:rPr>
            </w:pPr>
            <w:r>
              <w:rPr>
                <w:rFonts w:cs="Arial"/>
                <w:sz w:val="20"/>
                <w:szCs w:val="20"/>
              </w:rPr>
              <w:t>(20 and 50 mg Cd/kg bodyweight)</w:t>
            </w:r>
          </w:p>
        </w:tc>
        <w:tc>
          <w:tcPr>
            <w:tcW w:w="7123" w:type="dxa"/>
          </w:tcPr>
          <w:p w:rsidR="00AE2D7F" w:rsidRPr="009D1C7A" w:rsidRDefault="00AE2D7F" w:rsidP="00DD63C3">
            <w:pPr>
              <w:rPr>
                <w:rFonts w:cs="Arial"/>
                <w:sz w:val="20"/>
                <w:szCs w:val="20"/>
              </w:rPr>
            </w:pPr>
            <w:r w:rsidRPr="009D1C7A">
              <w:rPr>
                <w:rFonts w:cs="Arial"/>
                <w:sz w:val="20"/>
                <w:szCs w:val="20"/>
              </w:rPr>
              <w:t xml:space="preserve">Reduced </w:t>
            </w:r>
            <w:r w:rsidRPr="009D1C7A">
              <w:rPr>
                <w:rFonts w:cs="Arial"/>
                <w:i/>
                <w:sz w:val="20"/>
                <w:szCs w:val="20"/>
              </w:rPr>
              <w:t>Firmicutes / Bacteroidetes</w:t>
            </w:r>
            <w:r w:rsidRPr="009D1C7A">
              <w:rPr>
                <w:rFonts w:cs="Arial"/>
                <w:sz w:val="20"/>
                <w:szCs w:val="20"/>
              </w:rPr>
              <w:t xml:space="preserve"> ratio, and population of </w:t>
            </w:r>
            <w:r w:rsidRPr="009D1C7A">
              <w:rPr>
                <w:rFonts w:cs="Arial"/>
                <w:i/>
                <w:sz w:val="20"/>
                <w:szCs w:val="20"/>
              </w:rPr>
              <w:t>Lactobacilli</w:t>
            </w:r>
            <w:r w:rsidRPr="009D1C7A">
              <w:rPr>
                <w:rFonts w:cs="Arial"/>
                <w:sz w:val="20"/>
                <w:szCs w:val="20"/>
              </w:rPr>
              <w:t xml:space="preserve"> and </w:t>
            </w:r>
            <w:r w:rsidRPr="009D1C7A">
              <w:rPr>
                <w:rFonts w:cs="Arial"/>
                <w:i/>
                <w:sz w:val="20"/>
                <w:szCs w:val="20"/>
              </w:rPr>
              <w:t xml:space="preserve">Bifidobacteria. </w:t>
            </w:r>
            <w:r w:rsidRPr="009D1C7A">
              <w:rPr>
                <w:rFonts w:cs="Arial"/>
                <w:sz w:val="20"/>
                <w:szCs w:val="20"/>
              </w:rPr>
              <w:t xml:space="preserve">Intestinal mucus layer thinning, increased colon </w:t>
            </w:r>
          </w:p>
          <w:p w:rsidR="00AE2D7F" w:rsidRPr="009D1C7A" w:rsidRDefault="00AE2D7F" w:rsidP="00DD63C3">
            <w:pPr>
              <w:rPr>
                <w:rFonts w:cs="Arial"/>
                <w:sz w:val="20"/>
                <w:szCs w:val="20"/>
              </w:rPr>
            </w:pPr>
            <w:r w:rsidRPr="009D1C7A">
              <w:rPr>
                <w:rFonts w:cs="Arial"/>
                <w:sz w:val="20"/>
                <w:szCs w:val="20"/>
              </w:rPr>
              <w:t>TNF</w:t>
            </w:r>
            <w:r w:rsidRPr="00D50FCA">
              <w:rPr>
                <w:rFonts w:ascii="Symbol" w:hAnsi="Symbol" w:cs="Arial"/>
                <w:sz w:val="20"/>
                <w:szCs w:val="20"/>
              </w:rPr>
              <w:t></w:t>
            </w:r>
            <w:r w:rsidRPr="00D50FCA">
              <w:rPr>
                <w:rFonts w:ascii="Symbol" w:hAnsi="Symbol" w:cs="Arial"/>
                <w:sz w:val="20"/>
                <w:szCs w:val="20"/>
              </w:rPr>
              <w:t></w:t>
            </w:r>
            <w:r w:rsidRPr="009D1C7A">
              <w:rPr>
                <w:rFonts w:cs="Arial"/>
                <w:sz w:val="20"/>
                <w:szCs w:val="20"/>
              </w:rPr>
              <w:t>, reduced production of SCFA</w:t>
            </w:r>
            <w:r w:rsidR="00A81B0E">
              <w:rPr>
                <w:rFonts w:cs="Arial"/>
                <w:sz w:val="20"/>
                <w:szCs w:val="20"/>
              </w:rPr>
              <w:t>.</w:t>
            </w:r>
          </w:p>
        </w:tc>
        <w:tc>
          <w:tcPr>
            <w:tcW w:w="2131" w:type="dxa"/>
          </w:tcPr>
          <w:p w:rsidR="00AE2D7F" w:rsidRPr="009D1C7A" w:rsidRDefault="00AE2D7F" w:rsidP="00DD63C3">
            <w:pPr>
              <w:rPr>
                <w:rFonts w:cs="Arial"/>
                <w:sz w:val="20"/>
                <w:szCs w:val="20"/>
              </w:rPr>
            </w:pPr>
            <w:r w:rsidRPr="009D1C7A">
              <w:rPr>
                <w:rFonts w:cs="Arial"/>
                <w:sz w:val="20"/>
                <w:szCs w:val="20"/>
              </w:rPr>
              <w:t>Liu et al (2014)</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632F1B" w:rsidP="00DD63C3">
            <w:pPr>
              <w:rPr>
                <w:rFonts w:cs="Arial"/>
                <w:sz w:val="20"/>
                <w:szCs w:val="20"/>
              </w:rPr>
            </w:pPr>
            <w:r>
              <w:rPr>
                <w:rFonts w:cs="Arial"/>
                <w:sz w:val="20"/>
                <w:szCs w:val="20"/>
              </w:rPr>
              <w:t>(100 nM Cd)</w:t>
            </w:r>
          </w:p>
        </w:tc>
        <w:tc>
          <w:tcPr>
            <w:tcW w:w="7123" w:type="dxa"/>
          </w:tcPr>
          <w:p w:rsidR="00AE2D7F" w:rsidRPr="009D1C7A" w:rsidRDefault="00AE2D7F" w:rsidP="00DD63C3">
            <w:pPr>
              <w:spacing w:before="240"/>
              <w:contextualSpacing/>
              <w:rPr>
                <w:rFonts w:cs="Arial"/>
                <w:sz w:val="20"/>
                <w:szCs w:val="20"/>
              </w:rPr>
            </w:pPr>
            <w:r w:rsidRPr="009D1C7A">
              <w:rPr>
                <w:rFonts w:cs="Arial"/>
                <w:sz w:val="20"/>
                <w:szCs w:val="20"/>
              </w:rPr>
              <w:t>F</w:t>
            </w:r>
            <w:r w:rsidRPr="003B7EFA">
              <w:rPr>
                <w:rFonts w:cs="Arial"/>
                <w:sz w:val="20"/>
                <w:szCs w:val="20"/>
              </w:rPr>
              <w:t>at mass increased and microbial diversity decreased</w:t>
            </w:r>
            <w:r w:rsidRPr="009D1C7A">
              <w:rPr>
                <w:rFonts w:cs="Arial"/>
                <w:sz w:val="20"/>
                <w:szCs w:val="20"/>
              </w:rPr>
              <w:t>.</w:t>
            </w:r>
            <w:r w:rsidRPr="003B7EFA">
              <w:rPr>
                <w:rFonts w:cs="Arial"/>
                <w:sz w:val="20"/>
                <w:szCs w:val="20"/>
              </w:rPr>
              <w:t xml:space="preserve"> </w:t>
            </w:r>
            <w:r w:rsidRPr="009D1C7A">
              <w:rPr>
                <w:rFonts w:cs="Arial"/>
                <w:sz w:val="20"/>
                <w:szCs w:val="20"/>
              </w:rPr>
              <w:t>P</w:t>
            </w:r>
            <w:r w:rsidRPr="003B7EFA">
              <w:rPr>
                <w:rFonts w:cs="Arial"/>
                <w:sz w:val="20"/>
                <w:szCs w:val="20"/>
              </w:rPr>
              <w:t xml:space="preserve">lasma triglycerides, total cholesterol, free </w:t>
            </w:r>
            <w:r w:rsidRPr="009D1C7A">
              <w:rPr>
                <w:rFonts w:cs="Arial"/>
                <w:sz w:val="20"/>
                <w:szCs w:val="20"/>
              </w:rPr>
              <w:t>FA</w:t>
            </w:r>
            <w:r w:rsidRPr="003B7EFA">
              <w:rPr>
                <w:rFonts w:cs="Arial"/>
                <w:sz w:val="20"/>
                <w:szCs w:val="20"/>
              </w:rPr>
              <w:t xml:space="preserve">, leptin HDL </w:t>
            </w:r>
            <w:r w:rsidRPr="009D1C7A">
              <w:rPr>
                <w:rFonts w:cs="Arial"/>
                <w:sz w:val="20"/>
                <w:szCs w:val="20"/>
              </w:rPr>
              <w:t>and</w:t>
            </w:r>
            <w:r w:rsidRPr="003B7EFA">
              <w:rPr>
                <w:rFonts w:cs="Arial"/>
                <w:sz w:val="20"/>
                <w:szCs w:val="20"/>
              </w:rPr>
              <w:t xml:space="preserve"> liver triglycerides increased</w:t>
            </w:r>
            <w:r w:rsidRPr="009D1C7A">
              <w:rPr>
                <w:rFonts w:cs="Arial"/>
                <w:sz w:val="20"/>
                <w:szCs w:val="20"/>
              </w:rPr>
              <w:t xml:space="preserve">. </w:t>
            </w:r>
            <w:r w:rsidRPr="003B7EFA">
              <w:rPr>
                <w:rFonts w:cs="Arial"/>
                <w:i/>
                <w:sz w:val="20"/>
                <w:szCs w:val="20"/>
              </w:rPr>
              <w:t>Bacteroidetes</w:t>
            </w:r>
            <w:r w:rsidRPr="003B7EFA">
              <w:rPr>
                <w:rFonts w:cs="Arial"/>
                <w:sz w:val="20"/>
                <w:szCs w:val="20"/>
              </w:rPr>
              <w:t xml:space="preserve"> increased </w:t>
            </w:r>
            <w:r w:rsidRPr="009D1C7A">
              <w:rPr>
                <w:rFonts w:cs="Arial"/>
                <w:sz w:val="20"/>
                <w:szCs w:val="20"/>
              </w:rPr>
              <w:t xml:space="preserve">and </w:t>
            </w:r>
            <w:r w:rsidRPr="003B7EFA">
              <w:rPr>
                <w:rFonts w:cs="Arial"/>
                <w:i/>
                <w:sz w:val="20"/>
                <w:szCs w:val="20"/>
              </w:rPr>
              <w:t>Firmicutes</w:t>
            </w:r>
            <w:r w:rsidRPr="009D1C7A">
              <w:rPr>
                <w:rFonts w:cs="Arial"/>
                <w:i/>
                <w:sz w:val="20"/>
                <w:szCs w:val="20"/>
              </w:rPr>
              <w:t xml:space="preserve"> </w:t>
            </w:r>
            <w:r w:rsidRPr="009D1C7A">
              <w:rPr>
                <w:rFonts w:cs="Arial"/>
                <w:sz w:val="20"/>
                <w:szCs w:val="20"/>
              </w:rPr>
              <w:t>decreased</w:t>
            </w:r>
            <w:r w:rsidRPr="003B7EFA">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Ba et al (2017)</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Balb/c mice</w:t>
            </w:r>
          </w:p>
        </w:tc>
        <w:tc>
          <w:tcPr>
            <w:tcW w:w="1665" w:type="dxa"/>
          </w:tcPr>
          <w:p w:rsidR="00AE2D7F" w:rsidRPr="009D1C7A" w:rsidRDefault="00AE2D7F" w:rsidP="00E603B4">
            <w:pPr>
              <w:rPr>
                <w:rFonts w:cs="Arial"/>
                <w:sz w:val="20"/>
                <w:szCs w:val="20"/>
              </w:rPr>
            </w:pPr>
          </w:p>
        </w:tc>
        <w:tc>
          <w:tcPr>
            <w:tcW w:w="7123" w:type="dxa"/>
          </w:tcPr>
          <w:p w:rsidR="00AE2D7F" w:rsidRPr="009D1C7A" w:rsidRDefault="00AE2D7F" w:rsidP="00DD63C3">
            <w:pPr>
              <w:rPr>
                <w:rFonts w:cs="Arial"/>
                <w:sz w:val="20"/>
                <w:szCs w:val="20"/>
              </w:rPr>
            </w:pPr>
            <w:r w:rsidRPr="009D1C7A">
              <w:rPr>
                <w:rFonts w:cs="Arial"/>
                <w:sz w:val="20"/>
                <w:szCs w:val="20"/>
              </w:rPr>
              <w:t>No effect on bacterial diversity by 16S rRNA analysis in the caecum and faeces of female Balc/c mice. The relative proportions of different families and genera markedly affected</w:t>
            </w:r>
          </w:p>
        </w:tc>
        <w:tc>
          <w:tcPr>
            <w:tcW w:w="2131" w:type="dxa"/>
          </w:tcPr>
          <w:p w:rsidR="00AE2D7F" w:rsidRPr="009D1C7A" w:rsidRDefault="00AE2D7F" w:rsidP="00DD63C3">
            <w:pPr>
              <w:rPr>
                <w:rFonts w:cs="Arial"/>
                <w:sz w:val="20"/>
                <w:szCs w:val="20"/>
              </w:rPr>
            </w:pPr>
            <w:r w:rsidRPr="009D1C7A">
              <w:rPr>
                <w:rFonts w:cs="Arial"/>
                <w:sz w:val="20"/>
                <w:szCs w:val="20"/>
              </w:rPr>
              <w:t>Breton et al (2013a)</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Germ-free and SPF C57BL/6 mice</w:t>
            </w:r>
          </w:p>
        </w:tc>
        <w:tc>
          <w:tcPr>
            <w:tcW w:w="1665" w:type="dxa"/>
          </w:tcPr>
          <w:p w:rsidR="00AE2D7F" w:rsidRPr="009D1C7A" w:rsidRDefault="00AE2D7F" w:rsidP="00DD63C3">
            <w:pPr>
              <w:rPr>
                <w:rFonts w:cs="Arial"/>
                <w:sz w:val="20"/>
                <w:szCs w:val="20"/>
              </w:rPr>
            </w:pPr>
            <w:r w:rsidRPr="009D1C7A">
              <w:rPr>
                <w:rFonts w:cs="Arial"/>
                <w:sz w:val="20"/>
                <w:szCs w:val="20"/>
              </w:rPr>
              <w:t>Cadmium plus lead</w:t>
            </w:r>
          </w:p>
        </w:tc>
        <w:tc>
          <w:tcPr>
            <w:tcW w:w="7123" w:type="dxa"/>
          </w:tcPr>
          <w:p w:rsidR="00AE2D7F" w:rsidRPr="00D67181" w:rsidRDefault="00AE2D7F" w:rsidP="00DD63C3">
            <w:pPr>
              <w:spacing w:before="240"/>
              <w:contextualSpacing/>
              <w:rPr>
                <w:rFonts w:cs="Arial"/>
                <w:sz w:val="20"/>
                <w:szCs w:val="20"/>
              </w:rPr>
            </w:pPr>
            <w:r w:rsidRPr="009D1C7A">
              <w:rPr>
                <w:rFonts w:cs="Arial"/>
                <w:sz w:val="20"/>
                <w:szCs w:val="20"/>
              </w:rPr>
              <w:t>T</w:t>
            </w:r>
            <w:r w:rsidRPr="00D67181">
              <w:rPr>
                <w:rFonts w:cs="Arial"/>
                <w:sz w:val="20"/>
                <w:szCs w:val="20"/>
              </w:rPr>
              <w:t xml:space="preserve">he presence of the gut biota </w:t>
            </w:r>
            <w:r w:rsidRPr="009D1C7A">
              <w:rPr>
                <w:rFonts w:cs="Arial"/>
                <w:sz w:val="20"/>
                <w:szCs w:val="20"/>
              </w:rPr>
              <w:t>may have led to</w:t>
            </w:r>
            <w:r w:rsidRPr="00D67181">
              <w:rPr>
                <w:rFonts w:cs="Arial"/>
                <w:sz w:val="20"/>
                <w:szCs w:val="20"/>
              </w:rPr>
              <w:t xml:space="preserve"> reduced uptake</w:t>
            </w:r>
            <w:r w:rsidRPr="009D1C7A">
              <w:rPr>
                <w:rFonts w:cs="Arial"/>
                <w:sz w:val="20"/>
                <w:szCs w:val="20"/>
              </w:rPr>
              <w:t xml:space="preserve"> of metals in the germ-free mice.</w:t>
            </w:r>
          </w:p>
          <w:p w:rsidR="00AE2D7F" w:rsidRPr="009D1C7A" w:rsidRDefault="00AE2D7F" w:rsidP="00DD63C3">
            <w:pPr>
              <w:rPr>
                <w:rFonts w:cs="Arial"/>
                <w:sz w:val="20"/>
                <w:szCs w:val="20"/>
              </w:rPr>
            </w:pPr>
          </w:p>
        </w:tc>
        <w:tc>
          <w:tcPr>
            <w:tcW w:w="2131" w:type="dxa"/>
          </w:tcPr>
          <w:p w:rsidR="00AE2D7F" w:rsidRPr="009D1C7A" w:rsidRDefault="00AE2D7F" w:rsidP="00DD63C3">
            <w:pPr>
              <w:rPr>
                <w:rFonts w:cs="Arial"/>
                <w:sz w:val="20"/>
                <w:szCs w:val="20"/>
              </w:rPr>
            </w:pPr>
            <w:r w:rsidRPr="009D1C7A">
              <w:rPr>
                <w:rFonts w:cs="Arial"/>
                <w:sz w:val="20"/>
                <w:szCs w:val="20"/>
              </w:rPr>
              <w:t>Breton et al (2013b)</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r w:rsidRPr="009D1C7A">
              <w:rPr>
                <w:rFonts w:cs="Arial"/>
                <w:sz w:val="20"/>
                <w:szCs w:val="20"/>
              </w:rPr>
              <w:t>Lead</w:t>
            </w:r>
            <w:r w:rsidR="00632F1B">
              <w:rPr>
                <w:rFonts w:cs="Arial"/>
                <w:sz w:val="20"/>
                <w:szCs w:val="20"/>
              </w:rPr>
              <w:t xml:space="preserve"> (32 ppm Pb in drinking water)</w:t>
            </w:r>
          </w:p>
        </w:tc>
        <w:tc>
          <w:tcPr>
            <w:tcW w:w="7123" w:type="dxa"/>
          </w:tcPr>
          <w:p w:rsidR="00AE2D7F" w:rsidRPr="009D1C7A" w:rsidRDefault="00AE2D7F" w:rsidP="00DD63C3">
            <w:pPr>
              <w:rPr>
                <w:rFonts w:cs="Arial"/>
                <w:sz w:val="20"/>
                <w:szCs w:val="20"/>
              </w:rPr>
            </w:pPr>
            <w:r w:rsidRPr="009D1C7A">
              <w:rPr>
                <w:rFonts w:cs="Arial"/>
                <w:i/>
                <w:sz w:val="20"/>
                <w:szCs w:val="20"/>
              </w:rPr>
              <w:t>Bacteroidetes</w:t>
            </w:r>
            <w:r w:rsidRPr="009D1C7A">
              <w:rPr>
                <w:rFonts w:cs="Arial"/>
                <w:sz w:val="20"/>
                <w:szCs w:val="20"/>
              </w:rPr>
              <w:t xml:space="preserve"> decreased and </w:t>
            </w:r>
            <w:r w:rsidRPr="009D1C7A">
              <w:rPr>
                <w:rFonts w:cs="Arial"/>
                <w:i/>
                <w:sz w:val="20"/>
                <w:szCs w:val="20"/>
              </w:rPr>
              <w:t>Firmicutes</w:t>
            </w:r>
            <w:r w:rsidRPr="009D1C7A">
              <w:rPr>
                <w:rFonts w:cs="Arial"/>
                <w:sz w:val="20"/>
                <w:szCs w:val="20"/>
              </w:rPr>
              <w:t xml:space="preserve"> increased. Fewer culturable aerobes and more culturable anaerobes in the faeces</w:t>
            </w:r>
            <w:r w:rsidR="002749F3">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Wu et al (2016)</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632F1B" w:rsidP="00DD63C3">
            <w:pPr>
              <w:rPr>
                <w:rFonts w:cs="Arial"/>
                <w:sz w:val="20"/>
                <w:szCs w:val="20"/>
              </w:rPr>
            </w:pPr>
            <w:r>
              <w:rPr>
                <w:rFonts w:cs="Arial"/>
                <w:sz w:val="20"/>
                <w:szCs w:val="20"/>
              </w:rPr>
              <w:t>(2mg Pb/kg bodyweight/day)</w:t>
            </w:r>
          </w:p>
        </w:tc>
        <w:tc>
          <w:tcPr>
            <w:tcW w:w="7123" w:type="dxa"/>
          </w:tcPr>
          <w:p w:rsidR="00AE2D7F" w:rsidRPr="009D1C7A" w:rsidRDefault="00AE2D7F" w:rsidP="00DD63C3">
            <w:pPr>
              <w:spacing w:before="240"/>
              <w:contextualSpacing/>
              <w:rPr>
                <w:rFonts w:cs="Arial"/>
                <w:sz w:val="20"/>
                <w:szCs w:val="20"/>
              </w:rPr>
            </w:pPr>
            <w:r w:rsidRPr="009D1C7A">
              <w:rPr>
                <w:rFonts w:cs="Arial"/>
                <w:sz w:val="20"/>
                <w:szCs w:val="20"/>
              </w:rPr>
              <w:t>P</w:t>
            </w:r>
            <w:r w:rsidRPr="00BA2FED">
              <w:rPr>
                <w:rFonts w:cs="Arial"/>
                <w:sz w:val="20"/>
                <w:szCs w:val="20"/>
              </w:rPr>
              <w:t xml:space="preserve">opulation diversity was reduced, Levels of vitamin E and bile acids </w:t>
            </w:r>
            <w:r w:rsidRPr="009D1C7A">
              <w:rPr>
                <w:rFonts w:cs="Arial"/>
                <w:sz w:val="20"/>
                <w:szCs w:val="20"/>
              </w:rPr>
              <w:t xml:space="preserve">were </w:t>
            </w:r>
            <w:r w:rsidRPr="00BA2FED">
              <w:rPr>
                <w:rFonts w:cs="Arial"/>
                <w:sz w:val="20"/>
                <w:szCs w:val="20"/>
              </w:rPr>
              <w:t>reduced</w:t>
            </w:r>
            <w:r w:rsidRPr="009D1C7A">
              <w:rPr>
                <w:rFonts w:cs="Arial"/>
                <w:sz w:val="20"/>
                <w:szCs w:val="20"/>
              </w:rPr>
              <w:t>.</w:t>
            </w:r>
            <w:r w:rsidRPr="00BA2FED">
              <w:rPr>
                <w:rFonts w:cs="Arial"/>
                <w:sz w:val="20"/>
                <w:szCs w:val="20"/>
              </w:rPr>
              <w:t xml:space="preserve"> urea decreased and </w:t>
            </w:r>
            <w:r w:rsidRPr="009D1C7A">
              <w:rPr>
                <w:rFonts w:cs="Arial"/>
                <w:sz w:val="20"/>
                <w:szCs w:val="20"/>
              </w:rPr>
              <w:t xml:space="preserve">copper </w:t>
            </w:r>
            <w:r w:rsidRPr="00BA2FED">
              <w:rPr>
                <w:rFonts w:cs="Arial"/>
                <w:sz w:val="20"/>
                <w:szCs w:val="20"/>
              </w:rPr>
              <w:t xml:space="preserve">-containing nitrite reductase </w:t>
            </w:r>
            <w:r w:rsidRPr="009D1C7A">
              <w:rPr>
                <w:rFonts w:cs="Arial"/>
                <w:sz w:val="20"/>
                <w:szCs w:val="20"/>
              </w:rPr>
              <w:t xml:space="preserve">was </w:t>
            </w:r>
            <w:r w:rsidRPr="00BA2FED">
              <w:rPr>
                <w:rFonts w:cs="Arial"/>
                <w:sz w:val="20"/>
                <w:szCs w:val="20"/>
              </w:rPr>
              <w:t>in</w:t>
            </w:r>
            <w:r w:rsidRPr="009D1C7A">
              <w:rPr>
                <w:rFonts w:cs="Arial"/>
                <w:sz w:val="20"/>
                <w:szCs w:val="20"/>
              </w:rPr>
              <w:t>duced</w:t>
            </w:r>
            <w:r w:rsidRPr="00BA2FED">
              <w:rPr>
                <w:rFonts w:cs="Arial"/>
                <w:sz w:val="20"/>
                <w:szCs w:val="20"/>
              </w:rPr>
              <w:t xml:space="preserve">. </w:t>
            </w:r>
            <w:r w:rsidRPr="009D1C7A">
              <w:rPr>
                <w:rFonts w:cs="Arial"/>
                <w:sz w:val="20"/>
                <w:szCs w:val="20"/>
              </w:rPr>
              <w:t>G</w:t>
            </w:r>
            <w:r w:rsidRPr="00BA2FED">
              <w:rPr>
                <w:rFonts w:cs="Arial"/>
                <w:sz w:val="20"/>
                <w:szCs w:val="20"/>
              </w:rPr>
              <w:t>luconeogenesis</w:t>
            </w:r>
            <w:r w:rsidRPr="009D1C7A">
              <w:rPr>
                <w:rFonts w:cs="Arial"/>
                <w:sz w:val="20"/>
                <w:szCs w:val="20"/>
              </w:rPr>
              <w:t xml:space="preserve"> decreased. O</w:t>
            </w:r>
            <w:r w:rsidRPr="00BA2FED">
              <w:rPr>
                <w:rFonts w:cs="Arial"/>
                <w:sz w:val="20"/>
                <w:szCs w:val="20"/>
              </w:rPr>
              <w:t>xidative stress</w:t>
            </w:r>
            <w:r w:rsidRPr="009D1C7A">
              <w:rPr>
                <w:rFonts w:cs="Arial"/>
                <w:sz w:val="20"/>
                <w:szCs w:val="20"/>
              </w:rPr>
              <w:t xml:space="preserve"> and</w:t>
            </w:r>
            <w:r w:rsidRPr="00BA2FED">
              <w:rPr>
                <w:rFonts w:cs="Arial"/>
                <w:sz w:val="20"/>
                <w:szCs w:val="20"/>
              </w:rPr>
              <w:t xml:space="preserve"> phosphate ABC transporter</w:t>
            </w:r>
            <w:r w:rsidRPr="009D1C7A">
              <w:rPr>
                <w:rFonts w:cs="Arial"/>
                <w:sz w:val="20"/>
                <w:szCs w:val="20"/>
              </w:rPr>
              <w:t xml:space="preserve"> genes increased</w:t>
            </w:r>
            <w:r w:rsidR="002749F3">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Gao et al (2017)</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ICR mice</w:t>
            </w:r>
          </w:p>
        </w:tc>
        <w:tc>
          <w:tcPr>
            <w:tcW w:w="1665" w:type="dxa"/>
          </w:tcPr>
          <w:p w:rsidR="00AE2D7F" w:rsidRPr="009D1C7A" w:rsidRDefault="00AE2D7F" w:rsidP="00DD63C3">
            <w:pPr>
              <w:rPr>
                <w:rFonts w:cs="Arial"/>
                <w:sz w:val="20"/>
                <w:szCs w:val="20"/>
              </w:rPr>
            </w:pPr>
          </w:p>
        </w:tc>
        <w:tc>
          <w:tcPr>
            <w:tcW w:w="7123" w:type="dxa"/>
          </w:tcPr>
          <w:p w:rsidR="00AE2D7F" w:rsidRPr="009D1C7A" w:rsidRDefault="00AE2D7F" w:rsidP="00DD63C3">
            <w:pPr>
              <w:rPr>
                <w:rFonts w:cs="Arial"/>
                <w:sz w:val="20"/>
                <w:szCs w:val="20"/>
              </w:rPr>
            </w:pPr>
            <w:r w:rsidRPr="009D1C7A">
              <w:rPr>
                <w:rFonts w:cs="Arial"/>
                <w:sz w:val="20"/>
                <w:szCs w:val="20"/>
              </w:rPr>
              <w:t xml:space="preserve">Caecal </w:t>
            </w:r>
            <w:r w:rsidRPr="009D1C7A">
              <w:rPr>
                <w:rFonts w:cs="Arial"/>
                <w:i/>
                <w:sz w:val="20"/>
                <w:szCs w:val="20"/>
              </w:rPr>
              <w:t>Firmicutes</w:t>
            </w:r>
            <w:r w:rsidRPr="009D1C7A">
              <w:rPr>
                <w:rFonts w:cs="Arial"/>
                <w:sz w:val="20"/>
                <w:szCs w:val="20"/>
              </w:rPr>
              <w:t xml:space="preserve"> were reduced by &lt;0.1 mg/l lead whereas </w:t>
            </w:r>
            <w:r w:rsidRPr="009D1C7A">
              <w:rPr>
                <w:rFonts w:cs="Arial"/>
                <w:i/>
                <w:sz w:val="20"/>
                <w:szCs w:val="20"/>
              </w:rPr>
              <w:t>Bacteroidetes</w:t>
            </w:r>
            <w:r w:rsidRPr="009D1C7A">
              <w:rPr>
                <w:rFonts w:cs="Arial"/>
                <w:sz w:val="20"/>
                <w:szCs w:val="20"/>
              </w:rPr>
              <w:t xml:space="preserve"> reduced only at 0.1 mg/l. </w:t>
            </w:r>
            <w:r w:rsidRPr="009D1C7A">
              <w:rPr>
                <w:rFonts w:cs="Arial"/>
                <w:i/>
                <w:sz w:val="20"/>
                <w:szCs w:val="20"/>
              </w:rPr>
              <w:t>Proteobacteria</w:t>
            </w:r>
            <w:r w:rsidRPr="009D1C7A">
              <w:rPr>
                <w:rFonts w:cs="Arial"/>
                <w:sz w:val="20"/>
                <w:szCs w:val="20"/>
              </w:rPr>
              <w:t xml:space="preserve"> and </w:t>
            </w:r>
            <w:r w:rsidRPr="009D1C7A">
              <w:rPr>
                <w:rFonts w:cs="Arial"/>
                <w:i/>
                <w:sz w:val="20"/>
                <w:szCs w:val="20"/>
              </w:rPr>
              <w:t xml:space="preserve">Actinobacteria </w:t>
            </w:r>
            <w:r w:rsidRPr="009D1C7A">
              <w:rPr>
                <w:rFonts w:cs="Arial"/>
                <w:sz w:val="20"/>
                <w:szCs w:val="20"/>
              </w:rPr>
              <w:t>unaffected</w:t>
            </w:r>
          </w:p>
        </w:tc>
        <w:tc>
          <w:tcPr>
            <w:tcW w:w="2131" w:type="dxa"/>
          </w:tcPr>
          <w:p w:rsidR="00AE2D7F" w:rsidRPr="009D1C7A" w:rsidRDefault="00AE2D7F" w:rsidP="00DD63C3">
            <w:pPr>
              <w:rPr>
                <w:rFonts w:cs="Arial"/>
                <w:sz w:val="20"/>
                <w:szCs w:val="20"/>
              </w:rPr>
            </w:pPr>
            <w:r w:rsidRPr="009D1C7A">
              <w:rPr>
                <w:rFonts w:cs="Arial"/>
                <w:sz w:val="20"/>
                <w:szCs w:val="20"/>
              </w:rPr>
              <w:t>Xia et al (2018)</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Sprague Dawley rats</w:t>
            </w:r>
          </w:p>
        </w:tc>
        <w:tc>
          <w:tcPr>
            <w:tcW w:w="1665" w:type="dxa"/>
          </w:tcPr>
          <w:p w:rsidR="00AE2D7F" w:rsidRPr="009D1C7A" w:rsidRDefault="00AE2D7F" w:rsidP="00DD63C3">
            <w:pPr>
              <w:rPr>
                <w:rFonts w:cs="Arial"/>
                <w:sz w:val="20"/>
                <w:szCs w:val="20"/>
              </w:rPr>
            </w:pPr>
            <w:r w:rsidRPr="009D1C7A">
              <w:rPr>
                <w:rFonts w:cs="Arial"/>
                <w:sz w:val="20"/>
                <w:szCs w:val="20"/>
              </w:rPr>
              <w:t>Copper</w:t>
            </w:r>
          </w:p>
        </w:tc>
        <w:tc>
          <w:tcPr>
            <w:tcW w:w="7123" w:type="dxa"/>
          </w:tcPr>
          <w:p w:rsidR="00AE2D7F" w:rsidRPr="009D1C7A" w:rsidRDefault="00AE2D7F" w:rsidP="00DD63C3">
            <w:pPr>
              <w:rPr>
                <w:rFonts w:cs="Arial"/>
                <w:sz w:val="20"/>
                <w:szCs w:val="20"/>
              </w:rPr>
            </w:pPr>
            <w:r>
              <w:rPr>
                <w:rFonts w:cs="Arial"/>
                <w:sz w:val="20"/>
                <w:szCs w:val="20"/>
              </w:rPr>
              <w:t>M</w:t>
            </w:r>
            <w:r w:rsidRPr="009D1C7A">
              <w:rPr>
                <w:rFonts w:cs="Arial"/>
                <w:sz w:val="20"/>
                <w:szCs w:val="20"/>
              </w:rPr>
              <w:t xml:space="preserve">arginal (1.5 ppm) and supplemented (20 ppm) copper in the diet of male weanling Sprague Dawley rats increased the gut </w:t>
            </w:r>
            <w:r w:rsidRPr="009D1C7A">
              <w:rPr>
                <w:rFonts w:cs="Arial"/>
                <w:i/>
                <w:sz w:val="20"/>
                <w:szCs w:val="20"/>
              </w:rPr>
              <w:t>Firmicutes</w:t>
            </w:r>
            <w:r w:rsidRPr="009D1C7A">
              <w:rPr>
                <w:rFonts w:cs="Arial"/>
                <w:sz w:val="20"/>
                <w:szCs w:val="20"/>
              </w:rPr>
              <w:t>/</w:t>
            </w:r>
            <w:r w:rsidRPr="009D1C7A">
              <w:rPr>
                <w:rFonts w:cs="Arial"/>
                <w:i/>
                <w:sz w:val="20"/>
                <w:szCs w:val="20"/>
              </w:rPr>
              <w:t xml:space="preserve">Bacteroidetes </w:t>
            </w:r>
            <w:r w:rsidRPr="009D1C7A">
              <w:rPr>
                <w:rFonts w:cs="Arial"/>
                <w:sz w:val="20"/>
                <w:szCs w:val="20"/>
              </w:rPr>
              <w:t>ratio but different families and genera within the Firmicutes phylum were responsible for the change in ratio of the phyla in each treatment</w:t>
            </w:r>
          </w:p>
        </w:tc>
        <w:tc>
          <w:tcPr>
            <w:tcW w:w="2131" w:type="dxa"/>
          </w:tcPr>
          <w:p w:rsidR="00AE2D7F" w:rsidRPr="009D1C7A" w:rsidRDefault="00AE2D7F" w:rsidP="00DD63C3">
            <w:pPr>
              <w:rPr>
                <w:rFonts w:cs="Arial"/>
                <w:sz w:val="20"/>
                <w:szCs w:val="20"/>
              </w:rPr>
            </w:pPr>
            <w:r w:rsidRPr="009D1C7A">
              <w:rPr>
                <w:rFonts w:cs="Arial"/>
                <w:sz w:val="20"/>
                <w:szCs w:val="20"/>
              </w:rPr>
              <w:t>Song et al (2017)</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AE2D7F" w:rsidP="00DD63C3">
            <w:pPr>
              <w:rPr>
                <w:rFonts w:cs="Arial"/>
                <w:sz w:val="20"/>
                <w:szCs w:val="20"/>
              </w:rPr>
            </w:pPr>
            <w:r w:rsidRPr="009D1C7A">
              <w:rPr>
                <w:rFonts w:cs="Arial"/>
                <w:sz w:val="20"/>
                <w:szCs w:val="20"/>
              </w:rPr>
              <w:t>Titanium (food grade TiO</w:t>
            </w:r>
            <w:r w:rsidRPr="009D1C7A">
              <w:rPr>
                <w:rFonts w:cs="Arial"/>
                <w:sz w:val="20"/>
                <w:szCs w:val="20"/>
                <w:vertAlign w:val="subscript"/>
              </w:rPr>
              <w:t>2</w:t>
            </w:r>
            <w:r w:rsidRPr="009D1C7A">
              <w:rPr>
                <w:rFonts w:cs="Arial"/>
                <w:sz w:val="20"/>
                <w:szCs w:val="20"/>
              </w:rPr>
              <w:t>)</w:t>
            </w:r>
          </w:p>
        </w:tc>
        <w:tc>
          <w:tcPr>
            <w:tcW w:w="7123" w:type="dxa"/>
          </w:tcPr>
          <w:p w:rsidR="00AE2D7F" w:rsidRPr="009D1C7A" w:rsidRDefault="00AE2D7F" w:rsidP="00DD63C3">
            <w:pPr>
              <w:rPr>
                <w:rFonts w:cs="Arial"/>
                <w:sz w:val="20"/>
                <w:szCs w:val="20"/>
              </w:rPr>
            </w:pPr>
            <w:r w:rsidRPr="009D1C7A">
              <w:rPr>
                <w:rFonts w:cs="Arial"/>
                <w:sz w:val="20"/>
                <w:szCs w:val="20"/>
              </w:rPr>
              <w:t>Minor changes</w:t>
            </w:r>
            <w:r>
              <w:rPr>
                <w:rFonts w:cs="Arial"/>
                <w:sz w:val="20"/>
                <w:szCs w:val="20"/>
              </w:rPr>
              <w:t>:</w:t>
            </w:r>
            <w:r w:rsidRPr="009D1C7A">
              <w:rPr>
                <w:rFonts w:cs="Arial"/>
                <w:sz w:val="20"/>
                <w:szCs w:val="20"/>
              </w:rPr>
              <w:t xml:space="preserve"> </w:t>
            </w:r>
            <w:r w:rsidRPr="009D1C7A">
              <w:rPr>
                <w:rFonts w:cs="Arial"/>
                <w:i/>
                <w:sz w:val="20"/>
                <w:szCs w:val="20"/>
              </w:rPr>
              <w:t>Parabacterioides</w:t>
            </w:r>
            <w:r w:rsidRPr="009D1C7A">
              <w:rPr>
                <w:rFonts w:cs="Arial"/>
                <w:sz w:val="20"/>
                <w:szCs w:val="20"/>
              </w:rPr>
              <w:t xml:space="preserve">, </w:t>
            </w:r>
            <w:r w:rsidRPr="009D1C7A">
              <w:rPr>
                <w:rFonts w:cs="Arial"/>
                <w:i/>
                <w:sz w:val="20"/>
                <w:szCs w:val="20"/>
              </w:rPr>
              <w:t>Lactobacilli</w:t>
            </w:r>
            <w:r w:rsidRPr="009D1C7A">
              <w:rPr>
                <w:rFonts w:cs="Arial"/>
                <w:sz w:val="20"/>
                <w:szCs w:val="20"/>
              </w:rPr>
              <w:t xml:space="preserve"> and </w:t>
            </w:r>
            <w:r w:rsidRPr="009D1C7A">
              <w:rPr>
                <w:rFonts w:cs="Arial"/>
                <w:i/>
                <w:sz w:val="20"/>
                <w:szCs w:val="20"/>
              </w:rPr>
              <w:t>Allobaculum</w:t>
            </w:r>
            <w:r w:rsidRPr="009D1C7A">
              <w:rPr>
                <w:rFonts w:cs="Arial"/>
                <w:sz w:val="20"/>
                <w:szCs w:val="20"/>
              </w:rPr>
              <w:t xml:space="preserve">) increased, </w:t>
            </w:r>
            <w:r w:rsidRPr="009D1C7A">
              <w:rPr>
                <w:rFonts w:cs="Arial"/>
                <w:i/>
                <w:sz w:val="20"/>
                <w:szCs w:val="20"/>
              </w:rPr>
              <w:t>Aldercreutzia</w:t>
            </w:r>
            <w:r w:rsidRPr="009D1C7A">
              <w:rPr>
                <w:rFonts w:cs="Arial"/>
                <w:sz w:val="20"/>
                <w:szCs w:val="20"/>
              </w:rPr>
              <w:t xml:space="preserve"> and unclassified </w:t>
            </w:r>
            <w:r w:rsidRPr="009D1C7A">
              <w:rPr>
                <w:rFonts w:cs="Arial"/>
                <w:i/>
                <w:sz w:val="20"/>
                <w:szCs w:val="20"/>
              </w:rPr>
              <w:t>Clostridiaceae</w:t>
            </w:r>
            <w:r w:rsidRPr="009D1C7A">
              <w:rPr>
                <w:rFonts w:cs="Arial"/>
                <w:sz w:val="20"/>
                <w:szCs w:val="20"/>
              </w:rPr>
              <w:t xml:space="preserve">) decreased. Acetate production </w:t>
            </w:r>
            <w:proofErr w:type="gramStart"/>
            <w:r w:rsidRPr="009D1C7A">
              <w:rPr>
                <w:rFonts w:cs="Arial"/>
                <w:sz w:val="20"/>
                <w:szCs w:val="20"/>
              </w:rPr>
              <w:t>decreased,</w:t>
            </w:r>
            <w:proofErr w:type="gramEnd"/>
            <w:r w:rsidRPr="009D1C7A">
              <w:rPr>
                <w:rFonts w:cs="Arial"/>
                <w:sz w:val="20"/>
                <w:szCs w:val="20"/>
              </w:rPr>
              <w:t xml:space="preserve"> trimethylamine increased. Biofilm production increased</w:t>
            </w:r>
          </w:p>
        </w:tc>
        <w:tc>
          <w:tcPr>
            <w:tcW w:w="2131" w:type="dxa"/>
          </w:tcPr>
          <w:p w:rsidR="00AE2D7F" w:rsidRPr="009D1C7A" w:rsidRDefault="00AE2D7F" w:rsidP="00DD63C3">
            <w:pPr>
              <w:rPr>
                <w:rFonts w:cs="Arial"/>
                <w:sz w:val="20"/>
                <w:szCs w:val="20"/>
              </w:rPr>
            </w:pPr>
            <w:r w:rsidRPr="009D1C7A">
              <w:rPr>
                <w:rFonts w:cs="Arial"/>
                <w:sz w:val="20"/>
                <w:szCs w:val="20"/>
              </w:rPr>
              <w:t>Pinget et al (2019)</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Mice</w:t>
            </w:r>
          </w:p>
        </w:tc>
        <w:tc>
          <w:tcPr>
            <w:tcW w:w="1665" w:type="dxa"/>
          </w:tcPr>
          <w:p w:rsidR="00AE2D7F" w:rsidRPr="009D1C7A" w:rsidRDefault="00AE2D7F" w:rsidP="00DD63C3">
            <w:pPr>
              <w:rPr>
                <w:rFonts w:cs="Arial"/>
                <w:sz w:val="20"/>
                <w:szCs w:val="20"/>
              </w:rPr>
            </w:pPr>
            <w:r w:rsidRPr="009D1C7A">
              <w:rPr>
                <w:rFonts w:cs="Arial"/>
                <w:sz w:val="20"/>
                <w:szCs w:val="20"/>
              </w:rPr>
              <w:t>Silver (NP)</w:t>
            </w:r>
            <w:r w:rsidR="00632F1B">
              <w:rPr>
                <w:rFonts w:cs="Arial"/>
                <w:sz w:val="20"/>
                <w:szCs w:val="20"/>
              </w:rPr>
              <w:t xml:space="preserve"> (46, 460 and 4600 ppb AgNP)</w:t>
            </w:r>
          </w:p>
        </w:tc>
        <w:tc>
          <w:tcPr>
            <w:tcW w:w="7123" w:type="dxa"/>
          </w:tcPr>
          <w:p w:rsidR="00AE2D7F" w:rsidRPr="009D1C7A" w:rsidRDefault="00826222" w:rsidP="00DD63C3">
            <w:pPr>
              <w:rPr>
                <w:rFonts w:cs="Arial"/>
                <w:sz w:val="20"/>
                <w:szCs w:val="20"/>
              </w:rPr>
            </w:pPr>
            <w:r>
              <w:rPr>
                <w:rFonts w:cs="Arial"/>
                <w:sz w:val="20"/>
                <w:szCs w:val="20"/>
              </w:rPr>
              <w:t>Dose dependent i</w:t>
            </w:r>
            <w:r w:rsidR="00AE2D7F" w:rsidRPr="009D1C7A">
              <w:rPr>
                <w:rFonts w:cs="Arial"/>
                <w:sz w:val="20"/>
                <w:szCs w:val="20"/>
              </w:rPr>
              <w:t xml:space="preserve">ncreased ileal </w:t>
            </w:r>
            <w:r w:rsidR="00AE2D7F" w:rsidRPr="009D1C7A">
              <w:rPr>
                <w:rFonts w:cs="Arial"/>
                <w:i/>
                <w:sz w:val="20"/>
                <w:szCs w:val="20"/>
              </w:rPr>
              <w:t xml:space="preserve">Firmicutes/Bacteroidetes </w:t>
            </w:r>
            <w:r w:rsidR="00AE2D7F" w:rsidRPr="009D1C7A">
              <w:rPr>
                <w:rFonts w:cs="Arial"/>
                <w:sz w:val="20"/>
                <w:szCs w:val="20"/>
              </w:rPr>
              <w:t xml:space="preserve">ratio, Balance of genera changed Older NP less effective possibly due to </w:t>
            </w:r>
            <w:r w:rsidR="00056900" w:rsidRPr="009D1C7A">
              <w:rPr>
                <w:rFonts w:cs="Arial"/>
                <w:sz w:val="20"/>
                <w:szCs w:val="20"/>
              </w:rPr>
              <w:t>sul</w:t>
            </w:r>
            <w:r w:rsidR="00056900">
              <w:rPr>
                <w:rFonts w:cs="Arial"/>
                <w:sz w:val="20"/>
                <w:szCs w:val="20"/>
              </w:rPr>
              <w:t>f</w:t>
            </w:r>
            <w:r w:rsidR="00056900" w:rsidRPr="009D1C7A">
              <w:rPr>
                <w:rFonts w:cs="Arial"/>
                <w:sz w:val="20"/>
                <w:szCs w:val="20"/>
              </w:rPr>
              <w:t>idation</w:t>
            </w:r>
            <w:r w:rsidR="00056900">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Van den Brule et al (2016)</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Sprague Dawley rats</w:t>
            </w:r>
          </w:p>
        </w:tc>
        <w:tc>
          <w:tcPr>
            <w:tcW w:w="1665" w:type="dxa"/>
          </w:tcPr>
          <w:p w:rsidR="00AE2D7F" w:rsidRPr="009D1C7A" w:rsidRDefault="00632F1B" w:rsidP="00DD63C3">
            <w:pPr>
              <w:rPr>
                <w:rFonts w:cs="Arial"/>
                <w:sz w:val="20"/>
                <w:szCs w:val="20"/>
              </w:rPr>
            </w:pPr>
            <w:r>
              <w:rPr>
                <w:rFonts w:cs="Arial"/>
                <w:sz w:val="20"/>
                <w:szCs w:val="20"/>
              </w:rPr>
              <w:t>(9, 18 and 36 mg;kg bodyweight of 10 nm AgNP for 3 weeks)</w:t>
            </w:r>
          </w:p>
        </w:tc>
        <w:tc>
          <w:tcPr>
            <w:tcW w:w="7123" w:type="dxa"/>
          </w:tcPr>
          <w:p w:rsidR="00AE2D7F" w:rsidRPr="009D1C7A" w:rsidRDefault="00AE2D7F" w:rsidP="00DD63C3">
            <w:pPr>
              <w:spacing w:before="240"/>
              <w:contextualSpacing/>
              <w:rPr>
                <w:rFonts w:cs="Arial"/>
                <w:sz w:val="20"/>
                <w:szCs w:val="20"/>
              </w:rPr>
            </w:pPr>
            <w:r w:rsidRPr="007E5837">
              <w:rPr>
                <w:rFonts w:cs="Arial"/>
                <w:i/>
                <w:sz w:val="20"/>
                <w:szCs w:val="20"/>
              </w:rPr>
              <w:t xml:space="preserve">Bacteroidetes </w:t>
            </w:r>
            <w:r w:rsidRPr="007E5837">
              <w:rPr>
                <w:rFonts w:cs="Arial"/>
                <w:sz w:val="20"/>
                <w:szCs w:val="20"/>
              </w:rPr>
              <w:t xml:space="preserve">and </w:t>
            </w:r>
            <w:r w:rsidRPr="007E5837">
              <w:rPr>
                <w:rFonts w:cs="Arial"/>
                <w:i/>
                <w:sz w:val="20"/>
                <w:szCs w:val="20"/>
              </w:rPr>
              <w:t xml:space="preserve">Firmicutes </w:t>
            </w:r>
            <w:r w:rsidRPr="007E5837">
              <w:rPr>
                <w:rFonts w:cs="Arial"/>
                <w:sz w:val="20"/>
                <w:szCs w:val="20"/>
              </w:rPr>
              <w:t>reduced</w:t>
            </w:r>
            <w:r w:rsidRPr="009D1C7A">
              <w:rPr>
                <w:rFonts w:cs="Arial"/>
                <w:sz w:val="20"/>
                <w:szCs w:val="20"/>
              </w:rPr>
              <w:t>, males more sensitive than females. D</w:t>
            </w:r>
            <w:r w:rsidRPr="007E5837">
              <w:rPr>
                <w:rFonts w:cs="Arial"/>
                <w:sz w:val="20"/>
                <w:szCs w:val="20"/>
              </w:rPr>
              <w:t xml:space="preserve">ecreased activity of genes </w:t>
            </w:r>
            <w:r w:rsidRPr="009D1C7A">
              <w:rPr>
                <w:rFonts w:cs="Arial"/>
                <w:sz w:val="20"/>
                <w:szCs w:val="20"/>
              </w:rPr>
              <w:t>for</w:t>
            </w:r>
            <w:r w:rsidRPr="007E5837">
              <w:rPr>
                <w:rFonts w:cs="Arial"/>
                <w:sz w:val="20"/>
                <w:szCs w:val="20"/>
              </w:rPr>
              <w:t xml:space="preserve"> T-cell activity</w:t>
            </w:r>
            <w:r w:rsidRPr="009D1C7A">
              <w:rPr>
                <w:rFonts w:cs="Arial"/>
                <w:sz w:val="20"/>
                <w:szCs w:val="20"/>
              </w:rPr>
              <w:t xml:space="preserve">, </w:t>
            </w:r>
            <w:r w:rsidRPr="007E5837">
              <w:rPr>
                <w:rFonts w:cs="Arial"/>
                <w:sz w:val="20"/>
                <w:szCs w:val="20"/>
              </w:rPr>
              <w:t>mucin and microbial recognition in the gut</w:t>
            </w:r>
            <w:r w:rsidR="00632F1B">
              <w:rPr>
                <w:rFonts w:cs="Arial"/>
                <w:sz w:val="20"/>
                <w:szCs w:val="20"/>
              </w:rPr>
              <w:t>.</w:t>
            </w:r>
          </w:p>
        </w:tc>
        <w:tc>
          <w:tcPr>
            <w:tcW w:w="2131" w:type="dxa"/>
          </w:tcPr>
          <w:p w:rsidR="00AE2D7F" w:rsidRPr="009D1C7A" w:rsidRDefault="00AE2D7F" w:rsidP="00DD63C3">
            <w:pPr>
              <w:rPr>
                <w:rFonts w:cs="Arial"/>
                <w:sz w:val="20"/>
                <w:szCs w:val="20"/>
              </w:rPr>
            </w:pPr>
            <w:r w:rsidRPr="009D1C7A">
              <w:rPr>
                <w:rFonts w:cs="Arial"/>
                <w:sz w:val="20"/>
                <w:szCs w:val="20"/>
              </w:rPr>
              <w:t>Williams et al (2016)</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C57BL/6 mice</w:t>
            </w:r>
          </w:p>
        </w:tc>
        <w:tc>
          <w:tcPr>
            <w:tcW w:w="1665" w:type="dxa"/>
          </w:tcPr>
          <w:p w:rsidR="00AE2D7F" w:rsidRPr="009D1C7A" w:rsidRDefault="00632F1B" w:rsidP="00DD63C3">
            <w:pPr>
              <w:rPr>
                <w:rFonts w:cs="Arial"/>
                <w:sz w:val="20"/>
                <w:szCs w:val="20"/>
              </w:rPr>
            </w:pPr>
            <w:r>
              <w:rPr>
                <w:rFonts w:cs="Arial"/>
                <w:sz w:val="20"/>
                <w:szCs w:val="20"/>
              </w:rPr>
              <w:t>(10 mg/kg bodyweight of 110 nm particles for 24 days)</w:t>
            </w:r>
          </w:p>
        </w:tc>
        <w:tc>
          <w:tcPr>
            <w:tcW w:w="7123" w:type="dxa"/>
          </w:tcPr>
          <w:p w:rsidR="00AE2D7F" w:rsidRPr="009D1C7A" w:rsidRDefault="00AE2D7F" w:rsidP="00DD63C3">
            <w:pPr>
              <w:rPr>
                <w:rFonts w:cs="Arial"/>
                <w:sz w:val="20"/>
                <w:szCs w:val="20"/>
              </w:rPr>
            </w:pPr>
            <w:r>
              <w:rPr>
                <w:rFonts w:cs="Arial"/>
                <w:sz w:val="20"/>
                <w:szCs w:val="20"/>
              </w:rPr>
              <w:t>No significant changes</w:t>
            </w:r>
            <w:r w:rsidR="00826222">
              <w:rPr>
                <w:rFonts w:cs="Arial"/>
                <w:sz w:val="20"/>
                <w:szCs w:val="20"/>
              </w:rPr>
              <w:t xml:space="preserve"> </w:t>
            </w:r>
          </w:p>
        </w:tc>
        <w:tc>
          <w:tcPr>
            <w:tcW w:w="2131" w:type="dxa"/>
          </w:tcPr>
          <w:p w:rsidR="00AE2D7F" w:rsidRPr="009D1C7A" w:rsidRDefault="00AE2D7F" w:rsidP="00DD63C3">
            <w:pPr>
              <w:rPr>
                <w:rFonts w:cs="Arial"/>
                <w:sz w:val="20"/>
                <w:szCs w:val="20"/>
              </w:rPr>
            </w:pPr>
            <w:r w:rsidRPr="009D1C7A">
              <w:rPr>
                <w:rFonts w:cs="Arial"/>
                <w:sz w:val="20"/>
                <w:szCs w:val="20"/>
              </w:rPr>
              <w:t>Wilding et al (2016)</w:t>
            </w:r>
          </w:p>
        </w:tc>
      </w:tr>
      <w:tr w:rsidR="00AE2D7F" w:rsidTr="00DD63C3">
        <w:tc>
          <w:tcPr>
            <w:tcW w:w="1539" w:type="dxa"/>
          </w:tcPr>
          <w:p w:rsidR="00AE2D7F" w:rsidRPr="009D1C7A" w:rsidRDefault="00AE2D7F" w:rsidP="00DD63C3">
            <w:pPr>
              <w:rPr>
                <w:rFonts w:cs="Arial"/>
                <w:sz w:val="20"/>
                <w:szCs w:val="20"/>
              </w:rPr>
            </w:pPr>
            <w:r w:rsidRPr="009D1C7A">
              <w:rPr>
                <w:rFonts w:cs="Arial"/>
                <w:sz w:val="20"/>
                <w:szCs w:val="20"/>
              </w:rPr>
              <w:t>SPF Balb/c mice</w:t>
            </w:r>
          </w:p>
        </w:tc>
        <w:tc>
          <w:tcPr>
            <w:tcW w:w="1665" w:type="dxa"/>
          </w:tcPr>
          <w:p w:rsidR="00AE2D7F" w:rsidRPr="009D1C7A" w:rsidRDefault="00AE2D7F" w:rsidP="00DD63C3">
            <w:pPr>
              <w:rPr>
                <w:rFonts w:cs="Arial"/>
                <w:sz w:val="20"/>
                <w:szCs w:val="20"/>
              </w:rPr>
            </w:pPr>
            <w:r w:rsidRPr="009D1C7A">
              <w:rPr>
                <w:rFonts w:cs="Arial"/>
                <w:sz w:val="20"/>
                <w:szCs w:val="20"/>
              </w:rPr>
              <w:t>Gold (NP)</w:t>
            </w:r>
          </w:p>
        </w:tc>
        <w:tc>
          <w:tcPr>
            <w:tcW w:w="7123" w:type="dxa"/>
          </w:tcPr>
          <w:p w:rsidR="00AE2D7F" w:rsidRPr="007E5837" w:rsidRDefault="00AE2D7F" w:rsidP="00DD63C3">
            <w:pPr>
              <w:spacing w:before="240"/>
              <w:contextualSpacing/>
              <w:rPr>
                <w:rFonts w:cs="Arial"/>
                <w:sz w:val="20"/>
                <w:szCs w:val="20"/>
              </w:rPr>
            </w:pPr>
            <w:r w:rsidRPr="009D1C7A">
              <w:rPr>
                <w:rFonts w:cs="Arial"/>
                <w:sz w:val="20"/>
                <w:szCs w:val="20"/>
              </w:rPr>
              <w:t xml:space="preserve">Increase in </w:t>
            </w:r>
            <w:r w:rsidRPr="007E5837">
              <w:rPr>
                <w:rFonts w:cs="Arial"/>
                <w:i/>
                <w:sz w:val="20"/>
                <w:szCs w:val="20"/>
              </w:rPr>
              <w:t>Proteobacteria</w:t>
            </w:r>
            <w:r w:rsidRPr="009D1C7A">
              <w:rPr>
                <w:rFonts w:cs="Arial"/>
                <w:i/>
                <w:sz w:val="20"/>
                <w:szCs w:val="20"/>
              </w:rPr>
              <w:t xml:space="preserve">. </w:t>
            </w:r>
            <w:r w:rsidRPr="007E5837">
              <w:rPr>
                <w:rFonts w:cs="Arial"/>
                <w:sz w:val="20"/>
                <w:szCs w:val="20"/>
              </w:rPr>
              <w:t>(</w:t>
            </w:r>
            <w:r w:rsidRPr="007E5837">
              <w:rPr>
                <w:rFonts w:cs="Arial"/>
                <w:i/>
                <w:sz w:val="20"/>
                <w:szCs w:val="20"/>
              </w:rPr>
              <w:t xml:space="preserve">Roseburia </w:t>
            </w:r>
            <w:r w:rsidRPr="007E5837">
              <w:rPr>
                <w:rFonts w:cs="Arial"/>
                <w:sz w:val="20"/>
                <w:szCs w:val="20"/>
              </w:rPr>
              <w:t xml:space="preserve">were depleted and </w:t>
            </w:r>
            <w:r w:rsidRPr="007E5837">
              <w:rPr>
                <w:rFonts w:cs="Arial"/>
                <w:i/>
                <w:sz w:val="20"/>
                <w:szCs w:val="20"/>
              </w:rPr>
              <w:t xml:space="preserve">Staphyllococcus, Ureoplasma </w:t>
            </w:r>
            <w:r w:rsidRPr="007E5837">
              <w:rPr>
                <w:rFonts w:cs="Arial"/>
                <w:sz w:val="20"/>
                <w:szCs w:val="20"/>
              </w:rPr>
              <w:t xml:space="preserve">and </w:t>
            </w:r>
            <w:r w:rsidRPr="007E5837">
              <w:rPr>
                <w:rFonts w:cs="Arial"/>
                <w:i/>
                <w:sz w:val="20"/>
                <w:szCs w:val="20"/>
              </w:rPr>
              <w:t xml:space="preserve">Methylobacterium </w:t>
            </w:r>
            <w:r w:rsidRPr="007E5837">
              <w:rPr>
                <w:rFonts w:cs="Arial"/>
                <w:sz w:val="20"/>
                <w:szCs w:val="20"/>
              </w:rPr>
              <w:t>were more abundant</w:t>
            </w:r>
            <w:r>
              <w:rPr>
                <w:rFonts w:cs="Arial"/>
                <w:sz w:val="20"/>
                <w:szCs w:val="20"/>
              </w:rPr>
              <w:t>).</w:t>
            </w:r>
            <w:r w:rsidRPr="007E5837">
              <w:rPr>
                <w:rFonts w:cs="Arial"/>
                <w:sz w:val="20"/>
                <w:szCs w:val="20"/>
              </w:rPr>
              <w:t xml:space="preserve"> </w:t>
            </w:r>
            <w:r w:rsidRPr="009D1C7A">
              <w:rPr>
                <w:rFonts w:cs="Arial"/>
                <w:sz w:val="20"/>
                <w:szCs w:val="20"/>
              </w:rPr>
              <w:t>D</w:t>
            </w:r>
            <w:r w:rsidRPr="007E5837">
              <w:rPr>
                <w:rFonts w:cs="Arial"/>
                <w:sz w:val="20"/>
                <w:szCs w:val="20"/>
              </w:rPr>
              <w:t xml:space="preserve">ecrease in butyrate production and an increase in gut inflammation. </w:t>
            </w:r>
          </w:p>
          <w:p w:rsidR="00AE2D7F" w:rsidRPr="009D1C7A" w:rsidRDefault="00AE2D7F" w:rsidP="00DD63C3">
            <w:pPr>
              <w:rPr>
                <w:rFonts w:cs="Arial"/>
                <w:sz w:val="20"/>
                <w:szCs w:val="20"/>
              </w:rPr>
            </w:pPr>
          </w:p>
        </w:tc>
        <w:tc>
          <w:tcPr>
            <w:tcW w:w="2131" w:type="dxa"/>
          </w:tcPr>
          <w:p w:rsidR="00AE2D7F" w:rsidRPr="009D1C7A" w:rsidRDefault="00AE2D7F" w:rsidP="00DD63C3">
            <w:pPr>
              <w:rPr>
                <w:rFonts w:cs="Arial"/>
                <w:sz w:val="20"/>
                <w:szCs w:val="20"/>
              </w:rPr>
            </w:pPr>
            <w:r w:rsidRPr="009D1C7A">
              <w:rPr>
                <w:rFonts w:cs="Arial"/>
                <w:sz w:val="20"/>
                <w:szCs w:val="20"/>
              </w:rPr>
              <w:t>Wang et al (2019)</w:t>
            </w:r>
          </w:p>
        </w:tc>
      </w:tr>
    </w:tbl>
    <w:p w:rsidR="00AE2D7F" w:rsidRDefault="00AE2D7F" w:rsidP="00AE2D7F">
      <w:pPr>
        <w:pStyle w:val="ListParagraph"/>
        <w:spacing w:before="240"/>
        <w:ind w:left="0"/>
      </w:pPr>
    </w:p>
    <w:p w:rsidR="00AE2D7F" w:rsidRDefault="00AE2D7F" w:rsidP="00AE2D7F">
      <w:r>
        <w:t>Table 2 Reported experiments on the effect of pesticides on the gut microbiota of mice and rats.</w:t>
      </w:r>
    </w:p>
    <w:tbl>
      <w:tblPr>
        <w:tblStyle w:val="TableGrid"/>
        <w:tblW w:w="0" w:type="auto"/>
        <w:tblLook w:val="04A0" w:firstRow="1" w:lastRow="0" w:firstColumn="1" w:lastColumn="0" w:noHBand="0" w:noVBand="1"/>
      </w:tblPr>
      <w:tblGrid>
        <w:gridCol w:w="2122"/>
        <w:gridCol w:w="2693"/>
        <w:gridCol w:w="6946"/>
        <w:gridCol w:w="2187"/>
      </w:tblGrid>
      <w:tr w:rsidR="00AE2D7F" w:rsidTr="007702DD">
        <w:trPr>
          <w:trHeight w:val="380"/>
        </w:trPr>
        <w:tc>
          <w:tcPr>
            <w:tcW w:w="2122" w:type="dxa"/>
          </w:tcPr>
          <w:p w:rsidR="00AE2D7F" w:rsidRPr="00E27340" w:rsidRDefault="00AE2D7F" w:rsidP="00DD63C3">
            <w:pPr>
              <w:rPr>
                <w:rFonts w:cs="Arial"/>
                <w:sz w:val="20"/>
                <w:szCs w:val="20"/>
              </w:rPr>
            </w:pPr>
            <w:r>
              <w:rPr>
                <w:rFonts w:cs="Arial"/>
                <w:sz w:val="20"/>
                <w:szCs w:val="20"/>
              </w:rPr>
              <w:t>Animal</w:t>
            </w:r>
          </w:p>
        </w:tc>
        <w:tc>
          <w:tcPr>
            <w:tcW w:w="2693" w:type="dxa"/>
          </w:tcPr>
          <w:p w:rsidR="00AE2D7F" w:rsidRPr="00E27340" w:rsidRDefault="00AE2D7F" w:rsidP="00DD63C3">
            <w:pPr>
              <w:rPr>
                <w:rFonts w:cs="Arial"/>
                <w:sz w:val="20"/>
                <w:szCs w:val="20"/>
              </w:rPr>
            </w:pPr>
            <w:r>
              <w:rPr>
                <w:rFonts w:cs="Arial"/>
                <w:sz w:val="20"/>
                <w:szCs w:val="20"/>
              </w:rPr>
              <w:t>Pesticide</w:t>
            </w:r>
          </w:p>
        </w:tc>
        <w:tc>
          <w:tcPr>
            <w:tcW w:w="6946" w:type="dxa"/>
          </w:tcPr>
          <w:p w:rsidR="00AE2D7F" w:rsidRPr="00E27340" w:rsidRDefault="00AE2D7F" w:rsidP="00DD63C3">
            <w:pPr>
              <w:rPr>
                <w:rFonts w:cs="Arial"/>
                <w:sz w:val="20"/>
                <w:szCs w:val="20"/>
              </w:rPr>
            </w:pPr>
            <w:r>
              <w:rPr>
                <w:rFonts w:cs="Arial"/>
                <w:sz w:val="20"/>
                <w:szCs w:val="20"/>
              </w:rPr>
              <w:t>Effect</w:t>
            </w:r>
          </w:p>
        </w:tc>
        <w:tc>
          <w:tcPr>
            <w:tcW w:w="2187" w:type="dxa"/>
          </w:tcPr>
          <w:p w:rsidR="00AE2D7F" w:rsidRPr="00E27340" w:rsidRDefault="00AE2D7F" w:rsidP="00DD63C3">
            <w:pPr>
              <w:rPr>
                <w:rFonts w:cs="Arial"/>
                <w:sz w:val="20"/>
                <w:szCs w:val="20"/>
              </w:rPr>
            </w:pPr>
            <w:r>
              <w:rPr>
                <w:rFonts w:cs="Arial"/>
                <w:sz w:val="20"/>
                <w:szCs w:val="20"/>
              </w:rPr>
              <w:t>Reference</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C57BL/6 mice</w:t>
            </w:r>
          </w:p>
        </w:tc>
        <w:tc>
          <w:tcPr>
            <w:tcW w:w="2693" w:type="dxa"/>
          </w:tcPr>
          <w:p w:rsidR="00AE2D7F" w:rsidRPr="00E27340" w:rsidRDefault="00AE2D7F" w:rsidP="00DD63C3">
            <w:pPr>
              <w:rPr>
                <w:rFonts w:cs="Arial"/>
                <w:sz w:val="20"/>
                <w:szCs w:val="20"/>
              </w:rPr>
            </w:pPr>
            <w:r w:rsidRPr="00E27340">
              <w:rPr>
                <w:rFonts w:cs="Arial"/>
                <w:sz w:val="20"/>
                <w:szCs w:val="20"/>
              </w:rPr>
              <w:t xml:space="preserve">p, p’-DDE and </w:t>
            </w:r>
            <w:r w:rsidRPr="007702DD">
              <w:rPr>
                <w:rFonts w:ascii="Symbol" w:hAnsi="Symbol" w:cs="Arial"/>
                <w:sz w:val="20"/>
                <w:szCs w:val="20"/>
              </w:rPr>
              <w:t></w:t>
            </w:r>
            <w:r w:rsidRPr="00E27340">
              <w:rPr>
                <w:rFonts w:cs="Arial"/>
                <w:sz w:val="20"/>
                <w:szCs w:val="20"/>
              </w:rPr>
              <w:t>-HCH</w:t>
            </w:r>
          </w:p>
        </w:tc>
        <w:tc>
          <w:tcPr>
            <w:tcW w:w="6946" w:type="dxa"/>
          </w:tcPr>
          <w:p w:rsidR="00AE2D7F" w:rsidRPr="00E27340" w:rsidRDefault="00AE2D7F" w:rsidP="00DD63C3">
            <w:pPr>
              <w:rPr>
                <w:rFonts w:cs="Arial"/>
                <w:sz w:val="20"/>
                <w:szCs w:val="20"/>
              </w:rPr>
            </w:pPr>
            <w:r w:rsidRPr="00E27340">
              <w:rPr>
                <w:rFonts w:cs="Arial"/>
                <w:sz w:val="20"/>
                <w:szCs w:val="20"/>
              </w:rPr>
              <w:t xml:space="preserve">Reduced </w:t>
            </w:r>
            <w:r w:rsidRPr="00E27340">
              <w:rPr>
                <w:rFonts w:cs="Arial"/>
                <w:i/>
                <w:sz w:val="20"/>
                <w:szCs w:val="20"/>
              </w:rPr>
              <w:t>Actinobacteria</w:t>
            </w:r>
            <w:r w:rsidRPr="00E27340">
              <w:rPr>
                <w:rFonts w:cs="Arial"/>
                <w:sz w:val="20"/>
                <w:szCs w:val="20"/>
              </w:rPr>
              <w:t xml:space="preserve"> and the </w:t>
            </w:r>
            <w:r w:rsidRPr="00E27340">
              <w:rPr>
                <w:rFonts w:cs="Arial"/>
                <w:i/>
                <w:sz w:val="20"/>
                <w:szCs w:val="20"/>
              </w:rPr>
              <w:t>Candidatus Saccharibacteria</w:t>
            </w:r>
            <w:r w:rsidRPr="00E27340">
              <w:rPr>
                <w:rFonts w:cs="Arial"/>
                <w:sz w:val="20"/>
                <w:szCs w:val="20"/>
              </w:rPr>
              <w:t xml:space="preserve"> no effect on</w:t>
            </w:r>
            <w:r w:rsidR="00952972">
              <w:rPr>
                <w:rFonts w:cs="Arial"/>
                <w:sz w:val="20"/>
                <w:szCs w:val="20"/>
              </w:rPr>
              <w:t xml:space="preserve"> </w:t>
            </w:r>
            <w:r w:rsidRPr="00E27340">
              <w:rPr>
                <w:rFonts w:cs="Arial"/>
                <w:i/>
                <w:sz w:val="20"/>
                <w:szCs w:val="20"/>
              </w:rPr>
              <w:t xml:space="preserve">Bacterioidetes, Firmicutes, Verrucomicrobia </w:t>
            </w:r>
            <w:r w:rsidRPr="00E27340">
              <w:rPr>
                <w:rFonts w:cs="Arial"/>
                <w:sz w:val="20"/>
                <w:szCs w:val="20"/>
              </w:rPr>
              <w:t xml:space="preserve">or </w:t>
            </w:r>
            <w:r w:rsidRPr="00E27340">
              <w:rPr>
                <w:rFonts w:cs="Arial"/>
                <w:i/>
                <w:sz w:val="20"/>
                <w:szCs w:val="20"/>
              </w:rPr>
              <w:t>Proteobacteria</w:t>
            </w:r>
            <w:r w:rsidRPr="00E27340">
              <w:rPr>
                <w:rFonts w:cs="Arial"/>
                <w:sz w:val="20"/>
                <w:szCs w:val="20"/>
              </w:rPr>
              <w:t xml:space="preserve">. </w:t>
            </w:r>
          </w:p>
        </w:tc>
        <w:tc>
          <w:tcPr>
            <w:tcW w:w="2187" w:type="dxa"/>
          </w:tcPr>
          <w:p w:rsidR="00AE2D7F" w:rsidRPr="00E27340" w:rsidRDefault="00AE2D7F" w:rsidP="00DD63C3">
            <w:pPr>
              <w:rPr>
                <w:rFonts w:cs="Arial"/>
                <w:sz w:val="20"/>
                <w:szCs w:val="20"/>
              </w:rPr>
            </w:pPr>
            <w:r w:rsidRPr="00E27340">
              <w:rPr>
                <w:rFonts w:cs="Arial"/>
                <w:sz w:val="20"/>
                <w:szCs w:val="20"/>
              </w:rPr>
              <w:t xml:space="preserve">Liu </w:t>
            </w:r>
            <w:r w:rsidRPr="00E27340">
              <w:rPr>
                <w:rFonts w:cs="Arial"/>
                <w:i/>
                <w:sz w:val="20"/>
                <w:szCs w:val="20"/>
              </w:rPr>
              <w:t>et al</w:t>
            </w:r>
            <w:r w:rsidRPr="00E27340">
              <w:rPr>
                <w:rFonts w:cs="Arial"/>
                <w:sz w:val="20"/>
                <w:szCs w:val="20"/>
              </w:rPr>
              <w:t xml:space="preserve"> (2017)</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Male ICR mice</w:t>
            </w:r>
          </w:p>
        </w:tc>
        <w:tc>
          <w:tcPr>
            <w:tcW w:w="2693" w:type="dxa"/>
          </w:tcPr>
          <w:p w:rsidR="00AE2D7F" w:rsidRPr="00E27340" w:rsidRDefault="00AE2D7F" w:rsidP="00DD63C3">
            <w:pPr>
              <w:rPr>
                <w:rFonts w:cs="Arial"/>
                <w:sz w:val="20"/>
                <w:szCs w:val="20"/>
              </w:rPr>
            </w:pPr>
            <w:r w:rsidRPr="00E27340">
              <w:rPr>
                <w:rFonts w:cs="Arial"/>
                <w:sz w:val="20"/>
                <w:szCs w:val="20"/>
              </w:rPr>
              <w:t>Endosulfan</w:t>
            </w:r>
            <w:r w:rsidR="00A81B0E">
              <w:rPr>
                <w:rFonts w:cs="Arial"/>
                <w:sz w:val="20"/>
                <w:szCs w:val="20"/>
              </w:rPr>
              <w:t xml:space="preserve"> (</w:t>
            </w:r>
            <w:r w:rsidR="00A81B0E" w:rsidRPr="00815A8A">
              <w:rPr>
                <w:rFonts w:cs="Arial"/>
                <w:color w:val="333333"/>
                <w:sz w:val="20"/>
                <w:szCs w:val="20"/>
                <w:shd w:val="clear" w:color="auto" w:fill="FCFCFC"/>
              </w:rPr>
              <w:t>0.5, and 3.5 mg/kg for 2 weeks</w:t>
            </w:r>
            <w:r w:rsidR="00A81B0E">
              <w:rPr>
                <w:rFonts w:cs="Arial"/>
                <w:color w:val="333333"/>
                <w:sz w:val="20"/>
                <w:szCs w:val="20"/>
                <w:shd w:val="clear" w:color="auto" w:fill="FCFCFC"/>
              </w:rPr>
              <w:t>)</w:t>
            </w:r>
          </w:p>
        </w:tc>
        <w:tc>
          <w:tcPr>
            <w:tcW w:w="6946" w:type="dxa"/>
          </w:tcPr>
          <w:p w:rsidR="00AE2D7F" w:rsidRPr="00E27340" w:rsidRDefault="00AE2D7F" w:rsidP="00DD63C3">
            <w:pPr>
              <w:rPr>
                <w:rFonts w:cs="Arial"/>
                <w:sz w:val="20"/>
                <w:szCs w:val="20"/>
              </w:rPr>
            </w:pPr>
            <w:r>
              <w:rPr>
                <w:rFonts w:cs="Arial"/>
                <w:sz w:val="20"/>
                <w:szCs w:val="20"/>
              </w:rPr>
              <w:t>S</w:t>
            </w:r>
            <w:r w:rsidRPr="00E27340">
              <w:rPr>
                <w:rFonts w:cs="Arial"/>
                <w:sz w:val="20"/>
                <w:szCs w:val="20"/>
              </w:rPr>
              <w:t>erum hippurate levels fell dimethylalanine and trimethylamine N-oxide increased.</w:t>
            </w:r>
            <w:r w:rsidR="00BE17D3">
              <w:rPr>
                <w:rFonts w:cs="Arial"/>
                <w:sz w:val="20"/>
                <w:szCs w:val="20"/>
              </w:rPr>
              <w:t xml:space="preserve"> </w:t>
            </w:r>
          </w:p>
        </w:tc>
        <w:tc>
          <w:tcPr>
            <w:tcW w:w="2187" w:type="dxa"/>
          </w:tcPr>
          <w:p w:rsidR="00AE2D7F" w:rsidRPr="00E27340" w:rsidRDefault="00AE2D7F" w:rsidP="00DD63C3">
            <w:pPr>
              <w:rPr>
                <w:rFonts w:cs="Arial"/>
                <w:sz w:val="20"/>
                <w:szCs w:val="20"/>
              </w:rPr>
            </w:pPr>
            <w:r w:rsidRPr="00E27340">
              <w:rPr>
                <w:rFonts w:cs="Arial"/>
                <w:sz w:val="20"/>
                <w:szCs w:val="20"/>
              </w:rPr>
              <w:t>Zhang</w:t>
            </w:r>
            <w:r w:rsidRPr="00E27340">
              <w:rPr>
                <w:rFonts w:cs="Arial"/>
                <w:i/>
                <w:sz w:val="20"/>
                <w:szCs w:val="20"/>
              </w:rPr>
              <w:t xml:space="preserve"> et al </w:t>
            </w:r>
            <w:r w:rsidRPr="00E27340">
              <w:rPr>
                <w:rFonts w:cs="Arial"/>
                <w:sz w:val="20"/>
                <w:szCs w:val="20"/>
              </w:rPr>
              <w:t>(2017)</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Wistar rats</w:t>
            </w:r>
          </w:p>
        </w:tc>
        <w:tc>
          <w:tcPr>
            <w:tcW w:w="2693" w:type="dxa"/>
          </w:tcPr>
          <w:p w:rsidR="00AE2D7F" w:rsidRPr="00E27340" w:rsidRDefault="00AE2D7F" w:rsidP="00DD63C3">
            <w:pPr>
              <w:rPr>
                <w:rFonts w:cs="Arial"/>
                <w:sz w:val="20"/>
                <w:szCs w:val="20"/>
              </w:rPr>
            </w:pPr>
            <w:r>
              <w:rPr>
                <w:rFonts w:cs="Arial"/>
                <w:sz w:val="20"/>
                <w:szCs w:val="20"/>
              </w:rPr>
              <w:t>P</w:t>
            </w:r>
            <w:r w:rsidRPr="00E27340">
              <w:rPr>
                <w:rFonts w:cs="Arial"/>
                <w:sz w:val="20"/>
                <w:szCs w:val="20"/>
              </w:rPr>
              <w:t>ermethrin (75:25 trans:cis)</w:t>
            </w:r>
          </w:p>
        </w:tc>
        <w:tc>
          <w:tcPr>
            <w:tcW w:w="6946" w:type="dxa"/>
          </w:tcPr>
          <w:p w:rsidR="00AE2D7F" w:rsidRPr="00E27340" w:rsidRDefault="00AE2D7F" w:rsidP="00DD63C3">
            <w:pPr>
              <w:rPr>
                <w:rFonts w:cs="Arial"/>
                <w:sz w:val="20"/>
                <w:szCs w:val="20"/>
              </w:rPr>
            </w:pPr>
            <w:r w:rsidRPr="00E27340">
              <w:rPr>
                <w:rFonts w:cs="Arial"/>
                <w:sz w:val="20"/>
                <w:szCs w:val="20"/>
              </w:rPr>
              <w:t xml:space="preserve">Various </w:t>
            </w:r>
            <w:r w:rsidRPr="00E27340">
              <w:rPr>
                <w:rFonts w:cs="Arial"/>
                <w:i/>
                <w:sz w:val="20"/>
                <w:szCs w:val="20"/>
              </w:rPr>
              <w:t>Bacteroidetes</w:t>
            </w:r>
            <w:r w:rsidRPr="00E27340">
              <w:rPr>
                <w:rFonts w:cs="Arial"/>
                <w:sz w:val="20"/>
                <w:szCs w:val="20"/>
              </w:rPr>
              <w:t xml:space="preserve"> </w:t>
            </w:r>
            <w:r w:rsidRPr="00E27340">
              <w:rPr>
                <w:rFonts w:cs="Arial"/>
                <w:i/>
                <w:sz w:val="20"/>
                <w:szCs w:val="20"/>
              </w:rPr>
              <w:t xml:space="preserve">Lactobacillus </w:t>
            </w:r>
            <w:r w:rsidRPr="00E27340">
              <w:rPr>
                <w:rFonts w:cs="Arial"/>
                <w:sz w:val="20"/>
                <w:szCs w:val="20"/>
              </w:rPr>
              <w:t xml:space="preserve">spp temporarily increased </w:t>
            </w:r>
            <w:r w:rsidRPr="00E27340">
              <w:rPr>
                <w:rFonts w:cs="Arial"/>
                <w:i/>
                <w:sz w:val="20"/>
                <w:szCs w:val="20"/>
              </w:rPr>
              <w:t xml:space="preserve">Bacteroidetes </w:t>
            </w:r>
            <w:r w:rsidRPr="00E27340">
              <w:rPr>
                <w:rFonts w:cs="Arial"/>
                <w:sz w:val="20"/>
                <w:szCs w:val="20"/>
              </w:rPr>
              <w:t xml:space="preserve">spp were significantly reduced </w:t>
            </w:r>
          </w:p>
        </w:tc>
        <w:tc>
          <w:tcPr>
            <w:tcW w:w="2187" w:type="dxa"/>
          </w:tcPr>
          <w:p w:rsidR="00AE2D7F" w:rsidRPr="00E27340" w:rsidRDefault="00AE2D7F" w:rsidP="00DD63C3">
            <w:pPr>
              <w:rPr>
                <w:rFonts w:cs="Arial"/>
                <w:sz w:val="20"/>
                <w:szCs w:val="20"/>
              </w:rPr>
            </w:pPr>
            <w:r w:rsidRPr="00E27340">
              <w:rPr>
                <w:rFonts w:cs="Arial"/>
                <w:sz w:val="20"/>
                <w:szCs w:val="20"/>
              </w:rPr>
              <w:t xml:space="preserve">Nasuti </w:t>
            </w:r>
            <w:r w:rsidRPr="00E27340">
              <w:rPr>
                <w:rFonts w:cs="Arial"/>
                <w:i/>
                <w:sz w:val="20"/>
                <w:szCs w:val="20"/>
              </w:rPr>
              <w:t>et al</w:t>
            </w:r>
            <w:r w:rsidRPr="00E27340">
              <w:rPr>
                <w:rFonts w:cs="Arial"/>
                <w:sz w:val="20"/>
                <w:szCs w:val="20"/>
              </w:rPr>
              <w:t xml:space="preserve"> (2016)</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Mice</w:t>
            </w:r>
          </w:p>
        </w:tc>
        <w:tc>
          <w:tcPr>
            <w:tcW w:w="2693" w:type="dxa"/>
          </w:tcPr>
          <w:p w:rsidR="00AE2D7F" w:rsidRPr="00E27340" w:rsidRDefault="00AE2D7F" w:rsidP="00DD63C3">
            <w:pPr>
              <w:rPr>
                <w:rFonts w:cs="Arial"/>
                <w:sz w:val="20"/>
                <w:szCs w:val="20"/>
              </w:rPr>
            </w:pPr>
            <w:r w:rsidRPr="00E27340">
              <w:rPr>
                <w:rFonts w:cs="Arial"/>
                <w:sz w:val="20"/>
                <w:szCs w:val="20"/>
              </w:rPr>
              <w:t>Chlorpyrifos</w:t>
            </w:r>
            <w:r w:rsidR="00A81B0E">
              <w:rPr>
                <w:rFonts w:cs="Arial"/>
                <w:sz w:val="20"/>
                <w:szCs w:val="20"/>
              </w:rPr>
              <w:t xml:space="preserve"> (5 mg/kg bodyweight/ day for 4 weeks)</w:t>
            </w:r>
          </w:p>
        </w:tc>
        <w:tc>
          <w:tcPr>
            <w:tcW w:w="6946" w:type="dxa"/>
          </w:tcPr>
          <w:p w:rsidR="00AE2D7F" w:rsidRPr="00E27340" w:rsidRDefault="00AE2D7F" w:rsidP="00DD63C3">
            <w:pPr>
              <w:rPr>
                <w:rFonts w:cs="Arial"/>
                <w:sz w:val="20"/>
                <w:szCs w:val="20"/>
              </w:rPr>
            </w:pPr>
            <w:r>
              <w:rPr>
                <w:rFonts w:cs="Arial"/>
                <w:sz w:val="20"/>
                <w:szCs w:val="20"/>
              </w:rPr>
              <w:t>C</w:t>
            </w:r>
            <w:r w:rsidRPr="00E27340">
              <w:rPr>
                <w:rFonts w:cs="Arial"/>
                <w:sz w:val="20"/>
                <w:szCs w:val="20"/>
              </w:rPr>
              <w:t>hlorpyrifos treatment of mice on a normal diet had symptoms similar to those on the high fat diet.</w:t>
            </w:r>
            <w:r w:rsidR="00B422F4">
              <w:rPr>
                <w:rFonts w:cs="Arial"/>
                <w:sz w:val="20"/>
                <w:szCs w:val="20"/>
              </w:rPr>
              <w:t xml:space="preserve"> </w:t>
            </w:r>
          </w:p>
        </w:tc>
        <w:tc>
          <w:tcPr>
            <w:tcW w:w="2187" w:type="dxa"/>
          </w:tcPr>
          <w:p w:rsidR="00AE2D7F" w:rsidRPr="00E27340" w:rsidRDefault="00AE2D7F" w:rsidP="00DD63C3">
            <w:pPr>
              <w:rPr>
                <w:rFonts w:cs="Arial"/>
                <w:sz w:val="20"/>
                <w:szCs w:val="20"/>
              </w:rPr>
            </w:pPr>
            <w:r w:rsidRPr="00E27340">
              <w:rPr>
                <w:rFonts w:cs="Arial"/>
                <w:sz w:val="20"/>
                <w:szCs w:val="20"/>
              </w:rPr>
              <w:t xml:space="preserve">Liang </w:t>
            </w:r>
            <w:r w:rsidRPr="00E27340">
              <w:rPr>
                <w:rFonts w:cs="Arial"/>
                <w:i/>
                <w:sz w:val="20"/>
                <w:szCs w:val="20"/>
              </w:rPr>
              <w:t>et al</w:t>
            </w:r>
            <w:r w:rsidRPr="00E27340">
              <w:rPr>
                <w:rFonts w:cs="Arial"/>
                <w:sz w:val="20"/>
                <w:szCs w:val="20"/>
              </w:rPr>
              <w:t xml:space="preserve"> (2019</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Wistar rats</w:t>
            </w:r>
          </w:p>
        </w:tc>
        <w:tc>
          <w:tcPr>
            <w:tcW w:w="2693" w:type="dxa"/>
          </w:tcPr>
          <w:p w:rsidR="00AE2D7F" w:rsidRPr="00E27340" w:rsidRDefault="00A81B0E" w:rsidP="00DD63C3">
            <w:pPr>
              <w:rPr>
                <w:rFonts w:cs="Arial"/>
                <w:sz w:val="20"/>
                <w:szCs w:val="20"/>
              </w:rPr>
            </w:pPr>
            <w:r>
              <w:rPr>
                <w:rFonts w:cs="Arial"/>
                <w:sz w:val="20"/>
                <w:szCs w:val="20"/>
              </w:rPr>
              <w:t>(</w:t>
            </w:r>
            <w:r w:rsidRPr="00B422F4">
              <w:rPr>
                <w:rFonts w:cs="Arial"/>
                <w:sz w:val="20"/>
                <w:szCs w:val="20"/>
              </w:rPr>
              <w:t xml:space="preserve"> </w:t>
            </w:r>
            <w:r w:rsidRPr="00CD281E">
              <w:rPr>
                <w:rFonts w:cs="Arial"/>
                <w:color w:val="212121"/>
                <w:sz w:val="20"/>
                <w:szCs w:val="20"/>
                <w:shd w:val="clear" w:color="auto" w:fill="FFFFFF"/>
              </w:rPr>
              <w:t>0.3 or 3.0 mg /kg bodyweight/day for 9 weeks</w:t>
            </w:r>
            <w:r>
              <w:rPr>
                <w:rFonts w:cs="Arial"/>
                <w:color w:val="212121"/>
                <w:sz w:val="20"/>
                <w:szCs w:val="20"/>
                <w:shd w:val="clear" w:color="auto" w:fill="FFFFFF"/>
              </w:rPr>
              <w:t>)</w:t>
            </w:r>
          </w:p>
        </w:tc>
        <w:tc>
          <w:tcPr>
            <w:tcW w:w="6946" w:type="dxa"/>
          </w:tcPr>
          <w:p w:rsidR="00AE2D7F" w:rsidRPr="00E27340" w:rsidRDefault="00AE2D7F" w:rsidP="00DD63C3">
            <w:pPr>
              <w:rPr>
                <w:rFonts w:cs="Arial"/>
                <w:sz w:val="20"/>
                <w:szCs w:val="20"/>
              </w:rPr>
            </w:pPr>
            <w:r>
              <w:rPr>
                <w:rFonts w:cs="Arial"/>
                <w:sz w:val="20"/>
                <w:szCs w:val="20"/>
              </w:rPr>
              <w:t>Low dose chlorpyrifos (0.3 mg/kg bw) affected the balance of bacterial genera more than did a higher dose (3 mg/kg bw) Gut AChE activity reduced</w:t>
            </w:r>
            <w:r w:rsidR="00B422F4" w:rsidRPr="007702DD">
              <w:rPr>
                <w:rFonts w:cs="Arial"/>
                <w:color w:val="212121"/>
                <w:sz w:val="20"/>
                <w:szCs w:val="20"/>
                <w:shd w:val="clear" w:color="auto" w:fill="FFFFFF"/>
              </w:rPr>
              <w:t>.</w:t>
            </w:r>
          </w:p>
        </w:tc>
        <w:tc>
          <w:tcPr>
            <w:tcW w:w="2187" w:type="dxa"/>
          </w:tcPr>
          <w:p w:rsidR="00AE2D7F" w:rsidRPr="00E27340" w:rsidRDefault="00AE2D7F" w:rsidP="00DD63C3">
            <w:pPr>
              <w:rPr>
                <w:rFonts w:cs="Arial"/>
                <w:sz w:val="20"/>
                <w:szCs w:val="20"/>
              </w:rPr>
            </w:pPr>
            <w:r w:rsidRPr="00E27340">
              <w:rPr>
                <w:rFonts w:cs="Arial"/>
                <w:sz w:val="20"/>
                <w:szCs w:val="20"/>
              </w:rPr>
              <w:t xml:space="preserve">Fang </w:t>
            </w:r>
            <w:r w:rsidRPr="00E27340">
              <w:rPr>
                <w:rFonts w:cs="Arial"/>
                <w:i/>
                <w:sz w:val="20"/>
                <w:szCs w:val="20"/>
              </w:rPr>
              <w:t>et al</w:t>
            </w:r>
            <w:r w:rsidRPr="00E27340">
              <w:rPr>
                <w:rFonts w:cs="Arial"/>
                <w:sz w:val="20"/>
                <w:szCs w:val="20"/>
              </w:rPr>
              <w:t xml:space="preserve"> (2018)</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Wistar rats</w:t>
            </w:r>
          </w:p>
        </w:tc>
        <w:tc>
          <w:tcPr>
            <w:tcW w:w="2693" w:type="dxa"/>
          </w:tcPr>
          <w:p w:rsidR="00AE2D7F" w:rsidRPr="00E27340" w:rsidRDefault="00A81B0E" w:rsidP="00DD63C3">
            <w:pPr>
              <w:rPr>
                <w:rFonts w:cs="Arial"/>
                <w:sz w:val="20"/>
                <w:szCs w:val="20"/>
              </w:rPr>
            </w:pPr>
            <w:r>
              <w:rPr>
                <w:rFonts w:cs="Arial"/>
                <w:sz w:val="20"/>
                <w:szCs w:val="20"/>
              </w:rPr>
              <w:t>(1 and 3.5 mg/kg bodyweight /day)</w:t>
            </w:r>
          </w:p>
        </w:tc>
        <w:tc>
          <w:tcPr>
            <w:tcW w:w="6946" w:type="dxa"/>
          </w:tcPr>
          <w:p w:rsidR="00AE2D7F" w:rsidRPr="00E27340" w:rsidRDefault="00AE2D7F" w:rsidP="00DD63C3">
            <w:pPr>
              <w:rPr>
                <w:rFonts w:cs="Arial"/>
                <w:sz w:val="20"/>
                <w:szCs w:val="20"/>
              </w:rPr>
            </w:pPr>
            <w:r>
              <w:rPr>
                <w:rFonts w:cs="Arial"/>
                <w:sz w:val="20"/>
                <w:szCs w:val="20"/>
              </w:rPr>
              <w:t>R</w:t>
            </w:r>
            <w:r w:rsidRPr="00E27340">
              <w:rPr>
                <w:rFonts w:cs="Arial"/>
                <w:sz w:val="20"/>
                <w:szCs w:val="20"/>
              </w:rPr>
              <w:t xml:space="preserve">educed </w:t>
            </w:r>
            <w:r w:rsidRPr="00E27340">
              <w:rPr>
                <w:rFonts w:cs="Arial"/>
                <w:i/>
                <w:sz w:val="20"/>
                <w:szCs w:val="20"/>
              </w:rPr>
              <w:t xml:space="preserve">Firmicutes </w:t>
            </w:r>
            <w:r w:rsidRPr="00E27340">
              <w:rPr>
                <w:rFonts w:cs="Arial"/>
                <w:sz w:val="20"/>
                <w:szCs w:val="20"/>
              </w:rPr>
              <w:t xml:space="preserve">and other SCFA-producing bacteria partially reversed </w:t>
            </w:r>
            <w:r w:rsidR="00545F4A">
              <w:rPr>
                <w:rFonts w:cs="Arial"/>
                <w:sz w:val="20"/>
                <w:szCs w:val="20"/>
              </w:rPr>
              <w:t xml:space="preserve">by </w:t>
            </w:r>
            <w:r w:rsidRPr="00E27340">
              <w:rPr>
                <w:rFonts w:cs="Arial"/>
                <w:sz w:val="20"/>
                <w:szCs w:val="20"/>
              </w:rPr>
              <w:t xml:space="preserve">inulin </w:t>
            </w:r>
          </w:p>
        </w:tc>
        <w:tc>
          <w:tcPr>
            <w:tcW w:w="2187" w:type="dxa"/>
          </w:tcPr>
          <w:p w:rsidR="00AE2D7F" w:rsidRPr="00E27340" w:rsidRDefault="00AE2D7F" w:rsidP="00DD63C3">
            <w:pPr>
              <w:rPr>
                <w:rFonts w:cs="Arial"/>
                <w:sz w:val="20"/>
                <w:szCs w:val="20"/>
              </w:rPr>
            </w:pPr>
            <w:r w:rsidRPr="00E27340">
              <w:rPr>
                <w:rFonts w:cs="Arial"/>
                <w:sz w:val="20"/>
                <w:szCs w:val="20"/>
              </w:rPr>
              <w:t xml:space="preserve">Reygner, </w:t>
            </w:r>
            <w:r w:rsidRPr="00E27340">
              <w:rPr>
                <w:rFonts w:cs="Arial"/>
                <w:i/>
                <w:sz w:val="20"/>
                <w:szCs w:val="20"/>
              </w:rPr>
              <w:t>et al</w:t>
            </w:r>
            <w:r w:rsidRPr="00E27340">
              <w:rPr>
                <w:rFonts w:cs="Arial"/>
                <w:sz w:val="20"/>
                <w:szCs w:val="20"/>
              </w:rPr>
              <w:t xml:space="preserve"> (2016)</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SPF C57BL/6 mice</w:t>
            </w:r>
          </w:p>
        </w:tc>
        <w:tc>
          <w:tcPr>
            <w:tcW w:w="2693" w:type="dxa"/>
          </w:tcPr>
          <w:p w:rsidR="00AE2D7F" w:rsidRPr="00E27340" w:rsidRDefault="00AE2D7F" w:rsidP="00DD63C3">
            <w:pPr>
              <w:rPr>
                <w:rFonts w:cs="Arial"/>
                <w:sz w:val="20"/>
                <w:szCs w:val="20"/>
              </w:rPr>
            </w:pPr>
            <w:r w:rsidRPr="00E27340">
              <w:rPr>
                <w:rFonts w:cs="Arial"/>
                <w:sz w:val="20"/>
                <w:szCs w:val="20"/>
              </w:rPr>
              <w:t>Diazinon</w:t>
            </w:r>
            <w:r w:rsidR="00A81B0E">
              <w:rPr>
                <w:rFonts w:cs="Arial"/>
                <w:sz w:val="20"/>
                <w:szCs w:val="20"/>
              </w:rPr>
              <w:t xml:space="preserve"> (4 mg/l in drinking water for 13 weeks)</w:t>
            </w:r>
          </w:p>
        </w:tc>
        <w:tc>
          <w:tcPr>
            <w:tcW w:w="6946" w:type="dxa"/>
          </w:tcPr>
          <w:p w:rsidR="00AE2D7F" w:rsidRPr="00E27340" w:rsidRDefault="00AE2D7F" w:rsidP="00DD63C3">
            <w:pPr>
              <w:rPr>
                <w:rFonts w:cs="Arial"/>
                <w:sz w:val="20"/>
                <w:szCs w:val="20"/>
              </w:rPr>
            </w:pPr>
            <w:r>
              <w:rPr>
                <w:rFonts w:cs="Arial"/>
                <w:sz w:val="20"/>
                <w:szCs w:val="20"/>
              </w:rPr>
              <w:t>S</w:t>
            </w:r>
            <w:r w:rsidRPr="00E27340">
              <w:rPr>
                <w:rFonts w:cs="Arial"/>
                <w:sz w:val="20"/>
                <w:szCs w:val="20"/>
              </w:rPr>
              <w:t>ex-specific changes in the relative titres of gut microbiota the genus level. some species markedly decreased in males</w:t>
            </w:r>
            <w:r>
              <w:rPr>
                <w:rFonts w:cs="Arial"/>
                <w:sz w:val="20"/>
                <w:szCs w:val="20"/>
              </w:rPr>
              <w:t>,</w:t>
            </w:r>
            <w:r w:rsidRPr="00E27340">
              <w:rPr>
                <w:rFonts w:cs="Arial"/>
                <w:sz w:val="20"/>
                <w:szCs w:val="20"/>
              </w:rPr>
              <w:t xml:space="preserve"> but the majority increased, and the majority decreased in females., serotonin metabolic pathway gene expression perturbed.</w:t>
            </w:r>
            <w:r w:rsidR="00354F79">
              <w:rPr>
                <w:rFonts w:cs="Arial"/>
                <w:sz w:val="20"/>
                <w:szCs w:val="20"/>
              </w:rPr>
              <w:t xml:space="preserve"> </w:t>
            </w:r>
          </w:p>
        </w:tc>
        <w:tc>
          <w:tcPr>
            <w:tcW w:w="2187" w:type="dxa"/>
          </w:tcPr>
          <w:p w:rsidR="00AE2D7F" w:rsidRPr="00E27340" w:rsidRDefault="00AE2D7F" w:rsidP="00DD63C3">
            <w:pPr>
              <w:rPr>
                <w:rFonts w:cs="Arial"/>
                <w:sz w:val="20"/>
                <w:szCs w:val="20"/>
              </w:rPr>
            </w:pPr>
            <w:r w:rsidRPr="00E27340">
              <w:rPr>
                <w:rFonts w:cs="Arial"/>
                <w:sz w:val="20"/>
                <w:szCs w:val="20"/>
              </w:rPr>
              <w:t xml:space="preserve">Gao </w:t>
            </w:r>
            <w:r w:rsidRPr="00E27340">
              <w:rPr>
                <w:rFonts w:cs="Arial"/>
                <w:i/>
                <w:sz w:val="20"/>
                <w:szCs w:val="20"/>
              </w:rPr>
              <w:t>et al</w:t>
            </w:r>
            <w:r w:rsidRPr="00E27340">
              <w:rPr>
                <w:rFonts w:cs="Arial"/>
                <w:sz w:val="20"/>
                <w:szCs w:val="20"/>
              </w:rPr>
              <w:t xml:space="preserve"> (2017)</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SPF C57BL/6 mice</w:t>
            </w:r>
          </w:p>
        </w:tc>
        <w:tc>
          <w:tcPr>
            <w:tcW w:w="2693" w:type="dxa"/>
          </w:tcPr>
          <w:p w:rsidR="00AE2D7F" w:rsidRPr="00E27340" w:rsidRDefault="00AE2D7F" w:rsidP="00DD63C3">
            <w:pPr>
              <w:rPr>
                <w:rFonts w:cs="Arial"/>
                <w:sz w:val="20"/>
                <w:szCs w:val="20"/>
              </w:rPr>
            </w:pPr>
            <w:r w:rsidRPr="00E27340">
              <w:rPr>
                <w:rFonts w:cs="Arial"/>
                <w:sz w:val="20"/>
                <w:szCs w:val="20"/>
              </w:rPr>
              <w:t>Malathion</w:t>
            </w:r>
          </w:p>
        </w:tc>
        <w:tc>
          <w:tcPr>
            <w:tcW w:w="6946" w:type="dxa"/>
          </w:tcPr>
          <w:p w:rsidR="00AE2D7F" w:rsidRPr="00E27340" w:rsidRDefault="00AE2D7F" w:rsidP="00DD63C3">
            <w:pPr>
              <w:rPr>
                <w:rFonts w:cs="Arial"/>
                <w:sz w:val="20"/>
                <w:szCs w:val="20"/>
              </w:rPr>
            </w:pPr>
            <w:r>
              <w:rPr>
                <w:rFonts w:cs="Arial"/>
                <w:sz w:val="20"/>
                <w:szCs w:val="20"/>
              </w:rPr>
              <w:t>G</w:t>
            </w:r>
            <w:r w:rsidRPr="00E27340">
              <w:rPr>
                <w:rFonts w:cs="Arial"/>
                <w:sz w:val="20"/>
                <w:szCs w:val="20"/>
              </w:rPr>
              <w:t>enes for quorum sensing flagellar proteins pathogenicity and virulence. upregulated</w:t>
            </w:r>
            <w:r w:rsidRPr="00E27340">
              <w:rPr>
                <w:rFonts w:cs="Arial"/>
                <w:sz w:val="20"/>
                <w:szCs w:val="20"/>
              </w:rPr>
              <w:br/>
            </w:r>
          </w:p>
        </w:tc>
        <w:tc>
          <w:tcPr>
            <w:tcW w:w="2187" w:type="dxa"/>
          </w:tcPr>
          <w:p w:rsidR="00AE2D7F" w:rsidRPr="00E27340" w:rsidRDefault="00AE2D7F" w:rsidP="00DD63C3">
            <w:pPr>
              <w:rPr>
                <w:rFonts w:cs="Arial"/>
                <w:sz w:val="20"/>
                <w:szCs w:val="20"/>
              </w:rPr>
            </w:pPr>
            <w:r w:rsidRPr="00E27340">
              <w:rPr>
                <w:rFonts w:cs="Arial"/>
                <w:sz w:val="20"/>
                <w:szCs w:val="20"/>
              </w:rPr>
              <w:t xml:space="preserve">Gao </w:t>
            </w:r>
            <w:r w:rsidRPr="00E27340">
              <w:rPr>
                <w:rFonts w:cs="Arial"/>
                <w:i/>
                <w:sz w:val="20"/>
                <w:szCs w:val="20"/>
              </w:rPr>
              <w:t>et al</w:t>
            </w:r>
            <w:r w:rsidRPr="00E27340">
              <w:rPr>
                <w:rFonts w:cs="Arial"/>
                <w:sz w:val="20"/>
                <w:szCs w:val="20"/>
              </w:rPr>
              <w:t xml:space="preserve"> (2018)</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SPF C57BL/6 mice</w:t>
            </w:r>
          </w:p>
        </w:tc>
        <w:tc>
          <w:tcPr>
            <w:tcW w:w="2693" w:type="dxa"/>
          </w:tcPr>
          <w:p w:rsidR="00AE2D7F" w:rsidRPr="00E27340" w:rsidRDefault="00AE2D7F" w:rsidP="00DD63C3">
            <w:pPr>
              <w:rPr>
                <w:rFonts w:cs="Arial"/>
                <w:sz w:val="20"/>
                <w:szCs w:val="20"/>
              </w:rPr>
            </w:pPr>
            <w:r w:rsidRPr="00E27340">
              <w:rPr>
                <w:rFonts w:cs="Arial"/>
                <w:sz w:val="20"/>
                <w:szCs w:val="20"/>
              </w:rPr>
              <w:t>Aldicarb</w:t>
            </w:r>
          </w:p>
        </w:tc>
        <w:tc>
          <w:tcPr>
            <w:tcW w:w="6946" w:type="dxa"/>
          </w:tcPr>
          <w:p w:rsidR="00AE2D7F" w:rsidRPr="00E27340" w:rsidRDefault="00AE2D7F" w:rsidP="00DD63C3">
            <w:pPr>
              <w:rPr>
                <w:rFonts w:cs="Arial"/>
                <w:sz w:val="20"/>
                <w:szCs w:val="20"/>
              </w:rPr>
            </w:pPr>
            <w:r w:rsidRPr="00E27340">
              <w:rPr>
                <w:rFonts w:cs="Arial"/>
                <w:sz w:val="20"/>
                <w:szCs w:val="20"/>
              </w:rPr>
              <w:t>Genes for virulence, profiles of diglycerides, triglycerides and phosphatidylcholines in the liver, faeces and brain disturbed. increased expression of oxidative stress-related genes in the gut, protein degradation and DNA damage.</w:t>
            </w:r>
          </w:p>
        </w:tc>
        <w:tc>
          <w:tcPr>
            <w:tcW w:w="2187" w:type="dxa"/>
          </w:tcPr>
          <w:p w:rsidR="00AE2D7F" w:rsidRPr="00E27340" w:rsidRDefault="00AE2D7F" w:rsidP="00DD63C3">
            <w:pPr>
              <w:rPr>
                <w:rFonts w:cs="Arial"/>
                <w:sz w:val="20"/>
                <w:szCs w:val="20"/>
              </w:rPr>
            </w:pPr>
            <w:r w:rsidRPr="00E27340">
              <w:rPr>
                <w:rFonts w:cs="Arial"/>
                <w:sz w:val="20"/>
                <w:szCs w:val="20"/>
              </w:rPr>
              <w:t xml:space="preserve">Gao </w:t>
            </w:r>
            <w:r w:rsidRPr="00E27340">
              <w:rPr>
                <w:rFonts w:cs="Arial"/>
                <w:i/>
                <w:sz w:val="20"/>
                <w:szCs w:val="20"/>
              </w:rPr>
              <w:t>et al</w:t>
            </w:r>
            <w:r w:rsidRPr="00E27340">
              <w:rPr>
                <w:rFonts w:cs="Arial"/>
                <w:sz w:val="20"/>
                <w:szCs w:val="20"/>
              </w:rPr>
              <w:t xml:space="preserve"> (2019)</w:t>
            </w:r>
          </w:p>
        </w:tc>
      </w:tr>
      <w:tr w:rsidR="00AE2D7F" w:rsidTr="00DD63C3">
        <w:tc>
          <w:tcPr>
            <w:tcW w:w="2122" w:type="dxa"/>
          </w:tcPr>
          <w:p w:rsidR="00AE2D7F" w:rsidRPr="00E27340" w:rsidRDefault="00AE2D7F" w:rsidP="00DD63C3">
            <w:pPr>
              <w:rPr>
                <w:rFonts w:cs="Arial"/>
                <w:sz w:val="20"/>
                <w:szCs w:val="20"/>
              </w:rPr>
            </w:pPr>
            <w:r>
              <w:rPr>
                <w:rFonts w:cs="Arial"/>
                <w:bCs/>
                <w:sz w:val="20"/>
                <w:szCs w:val="20"/>
                <w:shd w:val="clear" w:color="auto" w:fill="FFFFFF"/>
              </w:rPr>
              <w:t>M</w:t>
            </w:r>
            <w:r w:rsidRPr="00E27340">
              <w:rPr>
                <w:rFonts w:cs="Arial"/>
                <w:bCs/>
                <w:sz w:val="20"/>
                <w:szCs w:val="20"/>
                <w:shd w:val="clear" w:color="auto" w:fill="FFFFFF"/>
              </w:rPr>
              <w:t>ale Sp</w:t>
            </w:r>
            <w:r>
              <w:rPr>
                <w:rFonts w:cs="Arial"/>
                <w:bCs/>
                <w:sz w:val="20"/>
                <w:szCs w:val="20"/>
                <w:shd w:val="clear" w:color="auto" w:fill="FFFFFF"/>
              </w:rPr>
              <w:t xml:space="preserve"> </w:t>
            </w:r>
            <w:r w:rsidRPr="00E27340">
              <w:rPr>
                <w:rFonts w:cs="Arial"/>
                <w:bCs/>
                <w:sz w:val="20"/>
                <w:szCs w:val="20"/>
                <w:shd w:val="clear" w:color="auto" w:fill="FFFFFF"/>
              </w:rPr>
              <w:t>rague Dawley rats</w:t>
            </w:r>
          </w:p>
        </w:tc>
        <w:tc>
          <w:tcPr>
            <w:tcW w:w="2693" w:type="dxa"/>
          </w:tcPr>
          <w:p w:rsidR="00AE2D7F" w:rsidRPr="00E27340" w:rsidRDefault="00AE2D7F" w:rsidP="00DD63C3">
            <w:pPr>
              <w:rPr>
                <w:rFonts w:cs="Arial"/>
                <w:sz w:val="20"/>
                <w:szCs w:val="20"/>
              </w:rPr>
            </w:pPr>
            <w:r w:rsidRPr="00E27340">
              <w:rPr>
                <w:rFonts w:cs="Arial"/>
                <w:sz w:val="20"/>
                <w:szCs w:val="20"/>
              </w:rPr>
              <w:t>Glyphosate</w:t>
            </w:r>
            <w:r w:rsidR="00A81B0E">
              <w:rPr>
                <w:rFonts w:cs="Arial"/>
                <w:sz w:val="20"/>
                <w:szCs w:val="20"/>
              </w:rPr>
              <w:t xml:space="preserve"> </w:t>
            </w:r>
            <w:r w:rsidR="00A81B0E">
              <w:rPr>
                <w:rFonts w:cs="Arial"/>
                <w:bCs/>
                <w:sz w:val="20"/>
                <w:szCs w:val="20"/>
                <w:shd w:val="clear" w:color="auto" w:fill="FFFFFF"/>
              </w:rPr>
              <w:t>(Up to 25 mg/kg bodyweight)</w:t>
            </w:r>
          </w:p>
        </w:tc>
        <w:tc>
          <w:tcPr>
            <w:tcW w:w="6946" w:type="dxa"/>
          </w:tcPr>
          <w:p w:rsidR="00AE2D7F" w:rsidRPr="00E27340" w:rsidRDefault="00AE2D7F" w:rsidP="00DD63C3">
            <w:pPr>
              <w:rPr>
                <w:rFonts w:cs="Arial"/>
                <w:sz w:val="20"/>
                <w:szCs w:val="20"/>
              </w:rPr>
            </w:pPr>
            <w:r w:rsidRPr="00E27340">
              <w:rPr>
                <w:rFonts w:cs="Arial"/>
                <w:bCs/>
                <w:sz w:val="20"/>
                <w:szCs w:val="20"/>
                <w:shd w:val="clear" w:color="auto" w:fill="FFFFFF"/>
              </w:rPr>
              <w:t>Little effect   on the   bacterial populations on the ileum, caecum and colon probably due to the presence of already-</w:t>
            </w:r>
            <w:r>
              <w:rPr>
                <w:rFonts w:cs="Arial"/>
                <w:bCs/>
                <w:sz w:val="20"/>
                <w:szCs w:val="20"/>
                <w:shd w:val="clear" w:color="auto" w:fill="FFFFFF"/>
              </w:rPr>
              <w:t>adequate a</w:t>
            </w:r>
            <w:r w:rsidRPr="00E27340">
              <w:rPr>
                <w:rFonts w:cs="Arial"/>
                <w:bCs/>
                <w:sz w:val="20"/>
                <w:szCs w:val="20"/>
                <w:shd w:val="clear" w:color="auto" w:fill="FFFFFF"/>
              </w:rPr>
              <w:t>mounts of aromatic amino acids.</w:t>
            </w:r>
            <w:r w:rsidR="00181F7F">
              <w:rPr>
                <w:rFonts w:cs="Arial"/>
                <w:bCs/>
                <w:sz w:val="20"/>
                <w:szCs w:val="20"/>
                <w:shd w:val="clear" w:color="auto" w:fill="FFFFFF"/>
              </w:rPr>
              <w:t xml:space="preserve"> </w:t>
            </w:r>
          </w:p>
        </w:tc>
        <w:tc>
          <w:tcPr>
            <w:tcW w:w="2187" w:type="dxa"/>
          </w:tcPr>
          <w:p w:rsidR="00AE2D7F" w:rsidRPr="00E27340" w:rsidRDefault="00AE2D7F" w:rsidP="00DD63C3">
            <w:pPr>
              <w:rPr>
                <w:rFonts w:cs="Arial"/>
                <w:sz w:val="20"/>
                <w:szCs w:val="20"/>
              </w:rPr>
            </w:pPr>
            <w:r w:rsidRPr="00E27340">
              <w:rPr>
                <w:rFonts w:cs="Arial"/>
                <w:bCs/>
                <w:sz w:val="20"/>
                <w:szCs w:val="20"/>
                <w:shd w:val="clear" w:color="auto" w:fill="FFFFFF"/>
              </w:rPr>
              <w:t xml:space="preserve">Nielsen </w:t>
            </w:r>
            <w:r w:rsidRPr="00E27340">
              <w:rPr>
                <w:rFonts w:cs="Arial"/>
                <w:bCs/>
                <w:i/>
                <w:sz w:val="20"/>
                <w:szCs w:val="20"/>
                <w:shd w:val="clear" w:color="auto" w:fill="FFFFFF"/>
              </w:rPr>
              <w:t xml:space="preserve">et al </w:t>
            </w:r>
            <w:r w:rsidRPr="00E27340">
              <w:rPr>
                <w:rFonts w:cs="Arial"/>
                <w:bCs/>
                <w:sz w:val="20"/>
                <w:szCs w:val="20"/>
                <w:shd w:val="clear" w:color="auto" w:fill="FFFFFF"/>
              </w:rPr>
              <w:t>(2018)</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Sprague Dawley rats</w:t>
            </w:r>
          </w:p>
        </w:tc>
        <w:tc>
          <w:tcPr>
            <w:tcW w:w="2693" w:type="dxa"/>
          </w:tcPr>
          <w:p w:rsidR="00AE2D7F" w:rsidRPr="00E27340" w:rsidRDefault="00A81B0E" w:rsidP="00DD63C3">
            <w:pPr>
              <w:rPr>
                <w:rFonts w:cs="Arial"/>
                <w:sz w:val="20"/>
                <w:szCs w:val="20"/>
              </w:rPr>
            </w:pPr>
            <w:r>
              <w:rPr>
                <w:rFonts w:cs="Arial"/>
                <w:sz w:val="20"/>
                <w:szCs w:val="20"/>
              </w:rPr>
              <w:t>(</w:t>
            </w:r>
            <w:r w:rsidRPr="00A81B0E">
              <w:rPr>
                <w:rFonts w:cs="Arial"/>
                <w:sz w:val="20"/>
                <w:szCs w:val="20"/>
              </w:rPr>
              <w:t>0.1  ppb</w:t>
            </w:r>
            <w:r w:rsidRPr="007702DD">
              <w:rPr>
                <w:rFonts w:cs="Arial"/>
                <w:bCs/>
                <w:sz w:val="20"/>
                <w:szCs w:val="20"/>
                <w:shd w:val="clear" w:color="auto" w:fill="FFFFFF"/>
              </w:rPr>
              <w:t>, 400 ppm and 5000 ppm in drinking water</w:t>
            </w:r>
            <w:r>
              <w:rPr>
                <w:rFonts w:cs="Arial"/>
                <w:bCs/>
                <w:sz w:val="20"/>
                <w:szCs w:val="20"/>
                <w:shd w:val="clear" w:color="auto" w:fill="FFFFFF"/>
              </w:rPr>
              <w:t>)</w:t>
            </w:r>
          </w:p>
        </w:tc>
        <w:tc>
          <w:tcPr>
            <w:tcW w:w="6946" w:type="dxa"/>
          </w:tcPr>
          <w:p w:rsidR="00AE2D7F" w:rsidRPr="00E27340" w:rsidRDefault="00AE2D7F" w:rsidP="00DD63C3">
            <w:pPr>
              <w:rPr>
                <w:rFonts w:cs="Arial"/>
                <w:sz w:val="20"/>
                <w:szCs w:val="20"/>
              </w:rPr>
            </w:pPr>
            <w:r w:rsidRPr="00E27340">
              <w:rPr>
                <w:rFonts w:cs="Arial"/>
                <w:i/>
                <w:sz w:val="20"/>
                <w:szCs w:val="20"/>
              </w:rPr>
              <w:t>Bacteroidetes</w:t>
            </w:r>
            <w:r w:rsidRPr="00E27340">
              <w:rPr>
                <w:rFonts w:cs="Arial"/>
                <w:sz w:val="20"/>
                <w:szCs w:val="20"/>
              </w:rPr>
              <w:t xml:space="preserve"> family S24-7 increased</w:t>
            </w:r>
            <w:r>
              <w:rPr>
                <w:rFonts w:cs="Arial"/>
                <w:sz w:val="20"/>
                <w:szCs w:val="20"/>
              </w:rPr>
              <w:t>.</w:t>
            </w:r>
            <w:r w:rsidRPr="00E27340">
              <w:rPr>
                <w:rFonts w:cs="Arial"/>
                <w:i/>
                <w:sz w:val="20"/>
                <w:szCs w:val="20"/>
              </w:rPr>
              <w:t xml:space="preserve"> Lactobacilliaceae</w:t>
            </w:r>
            <w:r w:rsidRPr="00E27340">
              <w:rPr>
                <w:rFonts w:cs="Arial"/>
                <w:sz w:val="20"/>
                <w:szCs w:val="20"/>
              </w:rPr>
              <w:t xml:space="preserve"> decreas</w:t>
            </w:r>
            <w:r>
              <w:rPr>
                <w:rFonts w:cs="Arial"/>
                <w:sz w:val="20"/>
                <w:szCs w:val="20"/>
              </w:rPr>
              <w:t>ed</w:t>
            </w:r>
            <w:r w:rsidRPr="00E27340">
              <w:rPr>
                <w:rFonts w:cs="Arial"/>
                <w:sz w:val="20"/>
                <w:szCs w:val="20"/>
              </w:rPr>
              <w:t xml:space="preserve"> in 8 out of 9 treated animals. In vitro, </w:t>
            </w:r>
            <w:r w:rsidRPr="00E27340">
              <w:rPr>
                <w:rFonts w:cs="Arial"/>
                <w:i/>
                <w:sz w:val="20"/>
                <w:szCs w:val="20"/>
              </w:rPr>
              <w:t>Bifidobacteria, Clostridia</w:t>
            </w:r>
            <w:r w:rsidRPr="00E27340">
              <w:rPr>
                <w:rFonts w:cs="Arial"/>
                <w:sz w:val="20"/>
                <w:szCs w:val="20"/>
              </w:rPr>
              <w:t xml:space="preserve"> and </w:t>
            </w:r>
            <w:r w:rsidRPr="00E27340">
              <w:rPr>
                <w:rFonts w:cs="Arial"/>
                <w:i/>
                <w:sz w:val="20"/>
                <w:szCs w:val="20"/>
              </w:rPr>
              <w:t>Enterococci</w:t>
            </w:r>
            <w:r w:rsidRPr="00E27340">
              <w:rPr>
                <w:rFonts w:cs="Arial"/>
                <w:sz w:val="20"/>
                <w:szCs w:val="20"/>
              </w:rPr>
              <w:t xml:space="preserve"> were sensitive to glyphosate at 400 ppm, </w:t>
            </w:r>
            <w:r w:rsidRPr="00E27340">
              <w:rPr>
                <w:rFonts w:cs="Arial"/>
                <w:i/>
                <w:sz w:val="20"/>
                <w:szCs w:val="20"/>
              </w:rPr>
              <w:t>Lactobacilli</w:t>
            </w:r>
            <w:r w:rsidRPr="00E27340">
              <w:rPr>
                <w:rFonts w:cs="Arial"/>
                <w:sz w:val="20"/>
                <w:szCs w:val="20"/>
              </w:rPr>
              <w:t xml:space="preserve"> above 5000 ppm and coliforms not sensitive </w:t>
            </w:r>
          </w:p>
        </w:tc>
        <w:tc>
          <w:tcPr>
            <w:tcW w:w="2187" w:type="dxa"/>
          </w:tcPr>
          <w:p w:rsidR="00AE2D7F" w:rsidRPr="00E27340" w:rsidRDefault="00181F7F" w:rsidP="00DD63C3">
            <w:pPr>
              <w:rPr>
                <w:rFonts w:cs="Arial"/>
                <w:sz w:val="20"/>
                <w:szCs w:val="20"/>
              </w:rPr>
            </w:pPr>
            <w:r>
              <w:rPr>
                <w:rFonts w:cs="Arial"/>
                <w:sz w:val="20"/>
                <w:szCs w:val="20"/>
              </w:rPr>
              <w:t xml:space="preserve">Lozano </w:t>
            </w:r>
            <w:r w:rsidR="00AE2D7F" w:rsidRPr="00E27340">
              <w:rPr>
                <w:rFonts w:cs="Arial"/>
                <w:sz w:val="20"/>
                <w:szCs w:val="20"/>
              </w:rPr>
              <w:t xml:space="preserve"> </w:t>
            </w:r>
            <w:r w:rsidR="00AE2D7F" w:rsidRPr="00E27340">
              <w:rPr>
                <w:rFonts w:cs="Arial"/>
                <w:i/>
                <w:sz w:val="20"/>
                <w:szCs w:val="20"/>
              </w:rPr>
              <w:t>et al</w:t>
            </w:r>
            <w:r w:rsidR="00AE2D7F" w:rsidRPr="00E27340">
              <w:rPr>
                <w:rFonts w:cs="Arial"/>
                <w:sz w:val="20"/>
                <w:szCs w:val="20"/>
              </w:rPr>
              <w:t xml:space="preserve"> (2018)</w:t>
            </w:r>
          </w:p>
        </w:tc>
      </w:tr>
      <w:tr w:rsidR="00AE2D7F" w:rsidTr="00DD63C3">
        <w:tc>
          <w:tcPr>
            <w:tcW w:w="2122" w:type="dxa"/>
          </w:tcPr>
          <w:p w:rsidR="00AE2D7F" w:rsidRPr="00E27340" w:rsidRDefault="00AE2D7F" w:rsidP="00DD63C3">
            <w:pPr>
              <w:rPr>
                <w:rFonts w:cs="Arial"/>
                <w:sz w:val="20"/>
                <w:szCs w:val="20"/>
              </w:rPr>
            </w:pPr>
            <w:r>
              <w:rPr>
                <w:rFonts w:cs="Arial"/>
                <w:sz w:val="20"/>
                <w:szCs w:val="20"/>
              </w:rPr>
              <w:t>M</w:t>
            </w:r>
            <w:r w:rsidRPr="00E27340">
              <w:rPr>
                <w:rFonts w:cs="Arial"/>
                <w:sz w:val="20"/>
                <w:szCs w:val="20"/>
              </w:rPr>
              <w:t>ale Swiss mice</w:t>
            </w:r>
          </w:p>
        </w:tc>
        <w:tc>
          <w:tcPr>
            <w:tcW w:w="2693" w:type="dxa"/>
          </w:tcPr>
          <w:p w:rsidR="00AE2D7F" w:rsidRPr="00E27340" w:rsidRDefault="00A81B0E" w:rsidP="00DD63C3">
            <w:pPr>
              <w:rPr>
                <w:rFonts w:cs="Arial"/>
                <w:sz w:val="20"/>
                <w:szCs w:val="20"/>
              </w:rPr>
            </w:pPr>
            <w:r>
              <w:rPr>
                <w:rFonts w:cs="Arial"/>
                <w:bCs/>
                <w:sz w:val="20"/>
                <w:szCs w:val="20"/>
                <w:shd w:val="clear" w:color="auto" w:fill="FFFFFF"/>
              </w:rPr>
              <w:t>(250 or 500 mg/kg bodyweight/ day)</w:t>
            </w:r>
          </w:p>
        </w:tc>
        <w:tc>
          <w:tcPr>
            <w:tcW w:w="6946" w:type="dxa"/>
          </w:tcPr>
          <w:p w:rsidR="00AE2D7F" w:rsidRPr="00E27340" w:rsidRDefault="00AE2D7F" w:rsidP="00DD63C3">
            <w:pPr>
              <w:rPr>
                <w:rFonts w:cs="Arial"/>
                <w:sz w:val="20"/>
                <w:szCs w:val="20"/>
              </w:rPr>
            </w:pPr>
            <w:r w:rsidRPr="00E27340">
              <w:rPr>
                <w:rFonts w:cs="Arial"/>
                <w:bCs/>
                <w:i/>
                <w:sz w:val="20"/>
                <w:szCs w:val="20"/>
                <w:shd w:val="clear" w:color="auto" w:fill="FFFFFF"/>
              </w:rPr>
              <w:t>Firmicutes,</w:t>
            </w:r>
            <w:r w:rsidRPr="00E27340">
              <w:rPr>
                <w:rFonts w:cs="Arial"/>
                <w:bCs/>
                <w:sz w:val="20"/>
                <w:szCs w:val="20"/>
                <w:shd w:val="clear" w:color="auto" w:fill="FFFFFF"/>
              </w:rPr>
              <w:t xml:space="preserve"> </w:t>
            </w:r>
            <w:r w:rsidRPr="00E27340">
              <w:rPr>
                <w:rFonts w:cs="Arial"/>
                <w:bCs/>
                <w:i/>
                <w:sz w:val="20"/>
                <w:szCs w:val="20"/>
                <w:shd w:val="clear" w:color="auto" w:fill="FFFFFF"/>
              </w:rPr>
              <w:t>Corynebacterium,</w:t>
            </w:r>
            <w:r w:rsidRPr="00E27340">
              <w:rPr>
                <w:rFonts w:cs="Arial"/>
                <w:bCs/>
                <w:sz w:val="20"/>
                <w:szCs w:val="20"/>
                <w:shd w:val="clear" w:color="auto" w:fill="FFFFFF"/>
              </w:rPr>
              <w:t xml:space="preserve"> </w:t>
            </w:r>
            <w:r w:rsidRPr="00E27340">
              <w:rPr>
                <w:rFonts w:cs="Arial"/>
                <w:bCs/>
                <w:i/>
                <w:sz w:val="20"/>
                <w:szCs w:val="20"/>
                <w:shd w:val="clear" w:color="auto" w:fill="FFFFFF"/>
              </w:rPr>
              <w:t>Bacteroidetes</w:t>
            </w:r>
            <w:r w:rsidRPr="00E27340">
              <w:rPr>
                <w:rFonts w:cs="Arial"/>
                <w:bCs/>
                <w:sz w:val="20"/>
                <w:szCs w:val="20"/>
                <w:shd w:val="clear" w:color="auto" w:fill="FFFFFF"/>
              </w:rPr>
              <w:t xml:space="preserve"> spp and</w:t>
            </w:r>
            <w:r w:rsidRPr="00E27340">
              <w:rPr>
                <w:rFonts w:cs="Arial"/>
                <w:bCs/>
                <w:i/>
                <w:sz w:val="20"/>
                <w:szCs w:val="20"/>
                <w:shd w:val="clear" w:color="auto" w:fill="FFFFFF"/>
              </w:rPr>
              <w:t xml:space="preserve"> Lactobacillus</w:t>
            </w:r>
            <w:r w:rsidRPr="00E27340">
              <w:rPr>
                <w:rFonts w:cs="Arial"/>
                <w:bCs/>
                <w:sz w:val="20"/>
                <w:szCs w:val="20"/>
                <w:shd w:val="clear" w:color="auto" w:fill="FFFFFF"/>
              </w:rPr>
              <w:t xml:space="preserve"> spp depleted.</w:t>
            </w:r>
            <w:r w:rsidR="00236885">
              <w:rPr>
                <w:rFonts w:cs="Arial"/>
                <w:bCs/>
                <w:sz w:val="20"/>
                <w:szCs w:val="20"/>
                <w:shd w:val="clear" w:color="auto" w:fill="FFFFFF"/>
              </w:rPr>
              <w:t xml:space="preserve"> </w:t>
            </w:r>
          </w:p>
        </w:tc>
        <w:tc>
          <w:tcPr>
            <w:tcW w:w="2187" w:type="dxa"/>
          </w:tcPr>
          <w:p w:rsidR="00AE2D7F" w:rsidRPr="00E27340" w:rsidRDefault="00AE2D7F" w:rsidP="00DD63C3">
            <w:pPr>
              <w:rPr>
                <w:rFonts w:cs="Arial"/>
                <w:sz w:val="20"/>
                <w:szCs w:val="20"/>
              </w:rPr>
            </w:pPr>
            <w:r w:rsidRPr="00E27340">
              <w:rPr>
                <w:rFonts w:cs="Arial"/>
                <w:sz w:val="20"/>
                <w:szCs w:val="20"/>
              </w:rPr>
              <w:t xml:space="preserve">Aitbali </w:t>
            </w:r>
            <w:r w:rsidRPr="00E27340">
              <w:rPr>
                <w:rFonts w:cs="Arial"/>
                <w:i/>
                <w:sz w:val="20"/>
                <w:szCs w:val="20"/>
              </w:rPr>
              <w:t xml:space="preserve">et al </w:t>
            </w:r>
            <w:r w:rsidRPr="00E27340">
              <w:rPr>
                <w:rFonts w:cs="Arial"/>
                <w:sz w:val="20"/>
                <w:szCs w:val="20"/>
              </w:rPr>
              <w:t>(2018)</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Sprague Dawley rats</w:t>
            </w:r>
          </w:p>
        </w:tc>
        <w:tc>
          <w:tcPr>
            <w:tcW w:w="2693" w:type="dxa"/>
          </w:tcPr>
          <w:p w:rsidR="00AE2D7F" w:rsidRPr="00E27340" w:rsidRDefault="00A81B0E" w:rsidP="00DD63C3">
            <w:pPr>
              <w:rPr>
                <w:rFonts w:cs="Arial"/>
                <w:sz w:val="20"/>
                <w:szCs w:val="20"/>
              </w:rPr>
            </w:pPr>
            <w:r>
              <w:rPr>
                <w:rFonts w:cs="Arial"/>
                <w:bCs/>
                <w:sz w:val="20"/>
                <w:szCs w:val="20"/>
                <w:shd w:val="clear" w:color="auto" w:fill="FFFFFF"/>
              </w:rPr>
              <w:t>Glyphosate (1.75 mg/kg bodyweight/ day)</w:t>
            </w:r>
          </w:p>
        </w:tc>
        <w:tc>
          <w:tcPr>
            <w:tcW w:w="6946" w:type="dxa"/>
          </w:tcPr>
          <w:p w:rsidR="00AE2D7F" w:rsidRPr="00E27340" w:rsidRDefault="00AE2D7F" w:rsidP="00DD63C3">
            <w:pPr>
              <w:rPr>
                <w:rFonts w:cs="Arial"/>
                <w:bCs/>
                <w:i/>
                <w:sz w:val="20"/>
                <w:szCs w:val="20"/>
                <w:shd w:val="clear" w:color="auto" w:fill="FFFFFF"/>
              </w:rPr>
            </w:pPr>
            <w:r>
              <w:rPr>
                <w:rFonts w:cs="Arial"/>
                <w:bCs/>
                <w:sz w:val="20"/>
                <w:szCs w:val="20"/>
                <w:shd w:val="clear" w:color="auto" w:fill="FFFFFF"/>
              </w:rPr>
              <w:t>S</w:t>
            </w:r>
            <w:r w:rsidRPr="00E27340">
              <w:rPr>
                <w:rFonts w:cs="Arial"/>
                <w:bCs/>
                <w:sz w:val="20"/>
                <w:szCs w:val="20"/>
                <w:shd w:val="clear" w:color="auto" w:fill="FFFFFF"/>
              </w:rPr>
              <w:t>ignificant changes in the balance of the microbiota in the glyphosate- and Roundup™-treated dams and pups compared with a water control</w:t>
            </w:r>
            <w:r w:rsidR="009F250A">
              <w:rPr>
                <w:rFonts w:cs="Arial"/>
                <w:bCs/>
                <w:sz w:val="20"/>
                <w:szCs w:val="20"/>
                <w:shd w:val="clear" w:color="auto" w:fill="FFFFFF"/>
              </w:rPr>
              <w:t xml:space="preserve"> </w:t>
            </w:r>
          </w:p>
        </w:tc>
        <w:tc>
          <w:tcPr>
            <w:tcW w:w="2187" w:type="dxa"/>
          </w:tcPr>
          <w:p w:rsidR="00AE2D7F" w:rsidRPr="00E27340" w:rsidRDefault="00AE2D7F" w:rsidP="00DD63C3">
            <w:pPr>
              <w:rPr>
                <w:rFonts w:cs="Arial"/>
                <w:sz w:val="20"/>
                <w:szCs w:val="20"/>
              </w:rPr>
            </w:pPr>
            <w:r w:rsidRPr="00E27340">
              <w:rPr>
                <w:rFonts w:cs="Arial"/>
                <w:sz w:val="20"/>
                <w:szCs w:val="20"/>
              </w:rPr>
              <w:t>Mao</w:t>
            </w:r>
            <w:r w:rsidRPr="00E27340">
              <w:rPr>
                <w:rFonts w:cs="Arial"/>
                <w:i/>
                <w:sz w:val="20"/>
                <w:szCs w:val="20"/>
              </w:rPr>
              <w:t xml:space="preserve"> et al </w:t>
            </w:r>
            <w:r w:rsidRPr="00E27340">
              <w:rPr>
                <w:rFonts w:cs="Arial"/>
                <w:sz w:val="20"/>
                <w:szCs w:val="20"/>
              </w:rPr>
              <w:t>(2018)</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ICR and C57Bl/6 mice</w:t>
            </w:r>
          </w:p>
        </w:tc>
        <w:tc>
          <w:tcPr>
            <w:tcW w:w="2693" w:type="dxa"/>
          </w:tcPr>
          <w:p w:rsidR="00AE2D7F" w:rsidRPr="00E27340" w:rsidRDefault="00AE2D7F" w:rsidP="00DD63C3">
            <w:pPr>
              <w:rPr>
                <w:rFonts w:cs="Arial"/>
                <w:sz w:val="20"/>
                <w:szCs w:val="20"/>
              </w:rPr>
            </w:pPr>
            <w:r w:rsidRPr="00E27340">
              <w:rPr>
                <w:rFonts w:cs="Arial"/>
                <w:sz w:val="20"/>
                <w:szCs w:val="20"/>
              </w:rPr>
              <w:t>Imazalil</w:t>
            </w:r>
            <w:r w:rsidR="00A81B0E">
              <w:rPr>
                <w:rFonts w:cs="Arial"/>
                <w:sz w:val="20"/>
                <w:szCs w:val="20"/>
              </w:rPr>
              <w:t xml:space="preserve"> </w:t>
            </w:r>
            <w:r w:rsidR="00A81B0E">
              <w:rPr>
                <w:rFonts w:cs="Arial"/>
                <w:i/>
                <w:sz w:val="20"/>
                <w:szCs w:val="20"/>
              </w:rPr>
              <w:t xml:space="preserve"> </w:t>
            </w:r>
            <w:r w:rsidR="00A81B0E">
              <w:rPr>
                <w:rFonts w:cs="Arial"/>
                <w:iCs/>
                <w:sz w:val="20"/>
                <w:szCs w:val="20"/>
              </w:rPr>
              <w:t>(100 mg/kg bodyweight for 1, 7 and 14 days)</w:t>
            </w:r>
          </w:p>
        </w:tc>
        <w:tc>
          <w:tcPr>
            <w:tcW w:w="6946" w:type="dxa"/>
          </w:tcPr>
          <w:p w:rsidR="00AE2D7F" w:rsidRPr="009F250A" w:rsidRDefault="00AE2D7F" w:rsidP="00DD63C3">
            <w:pPr>
              <w:rPr>
                <w:rFonts w:cs="Arial"/>
                <w:iCs/>
                <w:sz w:val="20"/>
                <w:szCs w:val="20"/>
              </w:rPr>
            </w:pPr>
            <w:r>
              <w:rPr>
                <w:rFonts w:cs="Arial"/>
                <w:sz w:val="20"/>
                <w:szCs w:val="20"/>
              </w:rPr>
              <w:t>F</w:t>
            </w:r>
            <w:r w:rsidRPr="00E27340">
              <w:rPr>
                <w:rFonts w:cs="Arial"/>
                <w:sz w:val="20"/>
                <w:szCs w:val="20"/>
              </w:rPr>
              <w:t xml:space="preserve">all in the relative abundance of the </w:t>
            </w:r>
            <w:r w:rsidRPr="00E27340">
              <w:rPr>
                <w:rFonts w:cs="Arial"/>
                <w:i/>
                <w:sz w:val="20"/>
                <w:szCs w:val="20"/>
              </w:rPr>
              <w:t>Bacteroidetes</w:t>
            </w:r>
            <w:r w:rsidRPr="00E27340">
              <w:rPr>
                <w:rFonts w:cs="Arial"/>
                <w:sz w:val="20"/>
                <w:szCs w:val="20"/>
              </w:rPr>
              <w:t xml:space="preserve"> at all imazilil doses and in the</w:t>
            </w:r>
            <w:r w:rsidRPr="00E27340">
              <w:rPr>
                <w:rFonts w:cs="Arial"/>
                <w:i/>
                <w:sz w:val="20"/>
                <w:szCs w:val="20"/>
              </w:rPr>
              <w:t xml:space="preserve"> Firmicutes</w:t>
            </w:r>
            <w:r w:rsidRPr="00E27340">
              <w:rPr>
                <w:rFonts w:cs="Arial"/>
                <w:sz w:val="20"/>
                <w:szCs w:val="20"/>
              </w:rPr>
              <w:t xml:space="preserve"> and </w:t>
            </w:r>
            <w:r w:rsidRPr="00E27340">
              <w:rPr>
                <w:rFonts w:cs="Arial"/>
                <w:i/>
                <w:sz w:val="20"/>
                <w:szCs w:val="20"/>
              </w:rPr>
              <w:t>Actinobacteria</w:t>
            </w:r>
            <w:r w:rsidRPr="00E27340">
              <w:rPr>
                <w:rFonts w:cs="Arial"/>
                <w:sz w:val="20"/>
                <w:szCs w:val="20"/>
              </w:rPr>
              <w:t xml:space="preserve"> at the highest dose and later time points; increases on </w:t>
            </w:r>
            <w:r w:rsidRPr="00E27340">
              <w:rPr>
                <w:rFonts w:cs="Arial"/>
                <w:i/>
                <w:sz w:val="20"/>
                <w:szCs w:val="20"/>
              </w:rPr>
              <w:t>Firmicutes,</w:t>
            </w:r>
            <w:r w:rsidRPr="00E27340">
              <w:rPr>
                <w:rFonts w:cs="Arial"/>
                <w:sz w:val="20"/>
                <w:szCs w:val="20"/>
              </w:rPr>
              <w:t xml:space="preserve"> </w:t>
            </w:r>
            <w:r w:rsidRPr="00AA0A7D">
              <w:rPr>
                <w:rFonts w:ascii="Symbol" w:hAnsi="Symbol" w:cs="Arial"/>
                <w:i/>
                <w:sz w:val="20"/>
                <w:szCs w:val="20"/>
              </w:rPr>
              <w:t></w:t>
            </w:r>
            <w:r w:rsidRPr="00E27340">
              <w:rPr>
                <w:rFonts w:cs="Arial"/>
                <w:i/>
                <w:sz w:val="20"/>
                <w:szCs w:val="20"/>
              </w:rPr>
              <w:t>-Proteobacteria</w:t>
            </w:r>
            <w:r w:rsidRPr="00E27340">
              <w:rPr>
                <w:rFonts w:cs="Arial"/>
                <w:sz w:val="20"/>
                <w:szCs w:val="20"/>
              </w:rPr>
              <w:t xml:space="preserve"> and </w:t>
            </w:r>
            <w:r w:rsidRPr="00AA0A7D">
              <w:rPr>
                <w:rFonts w:ascii="Symbol" w:hAnsi="Symbol" w:cs="Arial"/>
                <w:i/>
                <w:sz w:val="20"/>
                <w:szCs w:val="20"/>
              </w:rPr>
              <w:t></w:t>
            </w:r>
            <w:r w:rsidRPr="00E27340">
              <w:rPr>
                <w:rFonts w:cs="Arial"/>
                <w:i/>
                <w:sz w:val="20"/>
                <w:szCs w:val="20"/>
              </w:rPr>
              <w:t>-Proteobacteria</w:t>
            </w:r>
          </w:p>
        </w:tc>
        <w:tc>
          <w:tcPr>
            <w:tcW w:w="2187" w:type="dxa"/>
          </w:tcPr>
          <w:p w:rsidR="00AE2D7F" w:rsidRPr="00E27340" w:rsidRDefault="00AE2D7F" w:rsidP="00DD63C3">
            <w:pPr>
              <w:rPr>
                <w:rFonts w:cs="Arial"/>
                <w:sz w:val="20"/>
                <w:szCs w:val="20"/>
              </w:rPr>
            </w:pPr>
            <w:r w:rsidRPr="00E27340">
              <w:rPr>
                <w:rFonts w:cs="Arial"/>
                <w:sz w:val="20"/>
                <w:szCs w:val="20"/>
              </w:rPr>
              <w:t xml:space="preserve">Jun </w:t>
            </w:r>
            <w:r w:rsidRPr="00E27340">
              <w:rPr>
                <w:rFonts w:cs="Arial"/>
                <w:i/>
                <w:sz w:val="20"/>
                <w:szCs w:val="20"/>
              </w:rPr>
              <w:t xml:space="preserve">et al </w:t>
            </w:r>
            <w:r w:rsidRPr="00E27340">
              <w:rPr>
                <w:rFonts w:cs="Arial"/>
                <w:sz w:val="20"/>
                <w:szCs w:val="20"/>
              </w:rPr>
              <w:t>(2016 and 2018)</w:t>
            </w:r>
          </w:p>
        </w:tc>
      </w:tr>
      <w:tr w:rsidR="00192954" w:rsidTr="00DD63C3">
        <w:tc>
          <w:tcPr>
            <w:tcW w:w="2122" w:type="dxa"/>
          </w:tcPr>
          <w:p w:rsidR="00192954" w:rsidRPr="00E27340" w:rsidRDefault="00D41E99" w:rsidP="00DD63C3">
            <w:pPr>
              <w:rPr>
                <w:rFonts w:cs="Arial"/>
                <w:sz w:val="20"/>
                <w:szCs w:val="20"/>
              </w:rPr>
            </w:pPr>
            <w:r>
              <w:rPr>
                <w:rFonts w:cs="Arial"/>
                <w:sz w:val="20"/>
                <w:szCs w:val="20"/>
              </w:rPr>
              <w:t>C57Bl/6 mice</w:t>
            </w:r>
          </w:p>
        </w:tc>
        <w:tc>
          <w:tcPr>
            <w:tcW w:w="2693" w:type="dxa"/>
          </w:tcPr>
          <w:p w:rsidR="00192954" w:rsidRPr="00E27340" w:rsidRDefault="00A81B0E" w:rsidP="00DD63C3">
            <w:pPr>
              <w:rPr>
                <w:rFonts w:cs="Arial"/>
                <w:sz w:val="20"/>
                <w:szCs w:val="20"/>
              </w:rPr>
            </w:pPr>
            <w:r>
              <w:rPr>
                <w:rFonts w:cs="Arial"/>
                <w:sz w:val="20"/>
                <w:szCs w:val="20"/>
              </w:rPr>
              <w:t>F</w:t>
            </w:r>
            <w:r w:rsidR="00192954">
              <w:rPr>
                <w:rFonts w:cs="Arial"/>
                <w:sz w:val="20"/>
                <w:szCs w:val="20"/>
              </w:rPr>
              <w:t>luconazole</w:t>
            </w:r>
            <w:r>
              <w:rPr>
                <w:rFonts w:cs="Arial"/>
                <w:sz w:val="20"/>
                <w:szCs w:val="20"/>
              </w:rPr>
              <w:t xml:space="preserve"> (0.5 mg/ml in drinking water)</w:t>
            </w:r>
          </w:p>
        </w:tc>
        <w:tc>
          <w:tcPr>
            <w:tcW w:w="6946" w:type="dxa"/>
          </w:tcPr>
          <w:p w:rsidR="00192954" w:rsidRPr="00D41E99" w:rsidRDefault="00192954" w:rsidP="00DD63C3">
            <w:pPr>
              <w:rPr>
                <w:rFonts w:cs="Arial"/>
                <w:sz w:val="20"/>
                <w:szCs w:val="20"/>
              </w:rPr>
            </w:pPr>
            <w:r>
              <w:rPr>
                <w:rFonts w:cs="Arial"/>
                <w:sz w:val="20"/>
                <w:szCs w:val="20"/>
              </w:rPr>
              <w:t xml:space="preserve">Decrease in </w:t>
            </w:r>
            <w:r>
              <w:rPr>
                <w:rFonts w:cs="Arial"/>
                <w:i/>
                <w:iCs/>
                <w:sz w:val="20"/>
                <w:szCs w:val="20"/>
              </w:rPr>
              <w:t>Candida spp</w:t>
            </w:r>
            <w:r>
              <w:rPr>
                <w:rFonts w:cs="Arial"/>
                <w:sz w:val="20"/>
                <w:szCs w:val="20"/>
              </w:rPr>
              <w:t xml:space="preserve">, increase in </w:t>
            </w:r>
            <w:r w:rsidR="00D41E99" w:rsidRPr="00D41E99">
              <w:rPr>
                <w:rFonts w:cs="Arial"/>
                <w:i/>
                <w:iCs/>
                <w:sz w:val="20"/>
                <w:szCs w:val="20"/>
              </w:rPr>
              <w:t>Aspergillus, Wallemia</w:t>
            </w:r>
            <w:r w:rsidR="00D41E99">
              <w:rPr>
                <w:rFonts w:cs="Arial"/>
                <w:sz w:val="20"/>
                <w:szCs w:val="20"/>
              </w:rPr>
              <w:t xml:space="preserve"> and </w:t>
            </w:r>
            <w:r w:rsidR="00D41E99" w:rsidRPr="00D41E99">
              <w:rPr>
                <w:rFonts w:cs="Arial"/>
                <w:i/>
                <w:iCs/>
                <w:sz w:val="20"/>
                <w:szCs w:val="20"/>
              </w:rPr>
              <w:t>Epicoccum</w:t>
            </w:r>
            <w:r w:rsidR="00D41E99">
              <w:rPr>
                <w:rFonts w:cs="Arial"/>
                <w:sz w:val="20"/>
                <w:szCs w:val="20"/>
              </w:rPr>
              <w:t xml:space="preserve"> exacerbation of DSS-induced colitis and house-dust-mite-extract-induced allergic airway disease</w:t>
            </w:r>
            <w:r w:rsidR="00CC2932">
              <w:rPr>
                <w:rFonts w:cs="Arial"/>
                <w:sz w:val="20"/>
                <w:szCs w:val="20"/>
              </w:rPr>
              <w:t xml:space="preserve"> </w:t>
            </w:r>
          </w:p>
        </w:tc>
        <w:tc>
          <w:tcPr>
            <w:tcW w:w="2187" w:type="dxa"/>
          </w:tcPr>
          <w:p w:rsidR="00192954" w:rsidRPr="00192954" w:rsidRDefault="00192954" w:rsidP="00DD63C3">
            <w:pPr>
              <w:rPr>
                <w:rFonts w:cs="Arial"/>
                <w:sz w:val="20"/>
                <w:szCs w:val="20"/>
              </w:rPr>
            </w:pPr>
            <w:r>
              <w:rPr>
                <w:rFonts w:cs="Arial"/>
                <w:sz w:val="20"/>
                <w:szCs w:val="20"/>
              </w:rPr>
              <w:t xml:space="preserve">Wheeler </w:t>
            </w:r>
            <w:r>
              <w:rPr>
                <w:rFonts w:cs="Arial"/>
                <w:i/>
                <w:iCs/>
                <w:sz w:val="20"/>
                <w:szCs w:val="20"/>
              </w:rPr>
              <w:t>et al</w:t>
            </w:r>
            <w:r>
              <w:rPr>
                <w:rFonts w:cs="Arial"/>
                <w:sz w:val="20"/>
                <w:szCs w:val="20"/>
              </w:rPr>
              <w:t xml:space="preserve"> (2016)</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ICR mice</w:t>
            </w:r>
          </w:p>
        </w:tc>
        <w:tc>
          <w:tcPr>
            <w:tcW w:w="2693" w:type="dxa"/>
          </w:tcPr>
          <w:p w:rsidR="00AE2D7F" w:rsidRPr="00E27340" w:rsidRDefault="00A81B0E" w:rsidP="00DD63C3">
            <w:pPr>
              <w:rPr>
                <w:rFonts w:cs="Arial"/>
                <w:sz w:val="20"/>
                <w:szCs w:val="20"/>
              </w:rPr>
            </w:pPr>
            <w:r>
              <w:rPr>
                <w:rFonts w:cs="Arial"/>
                <w:sz w:val="20"/>
                <w:szCs w:val="20"/>
              </w:rPr>
              <w:t>P</w:t>
            </w:r>
            <w:r w:rsidR="00AE2D7F" w:rsidRPr="00E27340">
              <w:rPr>
                <w:rFonts w:cs="Arial"/>
                <w:sz w:val="20"/>
                <w:szCs w:val="20"/>
              </w:rPr>
              <w:t>ropamocarb</w:t>
            </w:r>
          </w:p>
        </w:tc>
        <w:tc>
          <w:tcPr>
            <w:tcW w:w="6946" w:type="dxa"/>
          </w:tcPr>
          <w:p w:rsidR="00AE2D7F" w:rsidRPr="00E27340" w:rsidRDefault="00AE2D7F" w:rsidP="00DD63C3">
            <w:pPr>
              <w:rPr>
                <w:rFonts w:cs="Arial"/>
                <w:bCs/>
                <w:i/>
                <w:sz w:val="20"/>
                <w:szCs w:val="20"/>
                <w:shd w:val="clear" w:color="auto" w:fill="FFFFFF"/>
              </w:rPr>
            </w:pPr>
            <w:r w:rsidRPr="00E27340">
              <w:rPr>
                <w:rFonts w:cs="Arial"/>
                <w:i/>
                <w:sz w:val="20"/>
                <w:szCs w:val="20"/>
              </w:rPr>
              <w:t>Bacteroidetes</w:t>
            </w:r>
            <w:r w:rsidRPr="00E27340">
              <w:rPr>
                <w:rFonts w:cs="Arial"/>
                <w:sz w:val="20"/>
                <w:szCs w:val="20"/>
              </w:rPr>
              <w:t xml:space="preserve"> </w:t>
            </w:r>
            <w:r w:rsidRPr="00AA0A7D">
              <w:rPr>
                <w:rFonts w:ascii="Symbol" w:hAnsi="Symbol" w:cs="Arial"/>
                <w:sz w:val="20"/>
                <w:szCs w:val="20"/>
              </w:rPr>
              <w:t></w:t>
            </w:r>
            <w:r w:rsidRPr="00E27340">
              <w:rPr>
                <w:rFonts w:cs="Arial"/>
                <w:sz w:val="20"/>
                <w:szCs w:val="20"/>
              </w:rPr>
              <w:t xml:space="preserve">-Proteobacteria and </w:t>
            </w:r>
            <w:r w:rsidRPr="00AA0A7D">
              <w:rPr>
                <w:rFonts w:ascii="Symbol" w:hAnsi="Symbol" w:cs="Arial"/>
                <w:sz w:val="20"/>
                <w:szCs w:val="20"/>
              </w:rPr>
              <w:t></w:t>
            </w:r>
            <w:r w:rsidRPr="00E27340">
              <w:rPr>
                <w:rFonts w:cs="Arial"/>
                <w:sz w:val="20"/>
                <w:szCs w:val="20"/>
              </w:rPr>
              <w:t xml:space="preserve">-Proteobacteria reduced </w:t>
            </w:r>
            <w:r w:rsidRPr="00E27340">
              <w:rPr>
                <w:rFonts w:cs="Arial"/>
                <w:i/>
                <w:sz w:val="20"/>
                <w:szCs w:val="20"/>
              </w:rPr>
              <w:t>Firmicutes</w:t>
            </w:r>
            <w:r w:rsidRPr="00E27340">
              <w:rPr>
                <w:rFonts w:cs="Arial"/>
                <w:sz w:val="20"/>
                <w:szCs w:val="20"/>
              </w:rPr>
              <w:t xml:space="preserve"> increased at 3 mg/l and then fell. In the caecum the </w:t>
            </w:r>
            <w:r w:rsidRPr="00E27340">
              <w:rPr>
                <w:rFonts w:cs="Arial"/>
                <w:i/>
                <w:sz w:val="20"/>
                <w:szCs w:val="20"/>
              </w:rPr>
              <w:t>Actinobacteria</w:t>
            </w:r>
            <w:r w:rsidRPr="00E27340">
              <w:rPr>
                <w:rFonts w:cs="Arial"/>
                <w:sz w:val="20"/>
                <w:szCs w:val="20"/>
              </w:rPr>
              <w:t xml:space="preserve"> and </w:t>
            </w:r>
            <w:r w:rsidRPr="00AA0A7D">
              <w:rPr>
                <w:rFonts w:ascii="Symbol" w:hAnsi="Symbol" w:cs="Arial"/>
                <w:i/>
                <w:sz w:val="20"/>
                <w:szCs w:val="20"/>
              </w:rPr>
              <w:t></w:t>
            </w:r>
            <w:r w:rsidRPr="00E27340">
              <w:rPr>
                <w:rFonts w:cs="Arial"/>
                <w:i/>
                <w:sz w:val="20"/>
                <w:szCs w:val="20"/>
              </w:rPr>
              <w:t xml:space="preserve">-Proteobacteria </w:t>
            </w:r>
            <w:r w:rsidRPr="00E27340">
              <w:rPr>
                <w:rFonts w:cs="Arial"/>
                <w:sz w:val="20"/>
                <w:szCs w:val="20"/>
              </w:rPr>
              <w:t>fell but little change in the other phyla at 300 mg/l</w:t>
            </w:r>
          </w:p>
        </w:tc>
        <w:tc>
          <w:tcPr>
            <w:tcW w:w="2187" w:type="dxa"/>
          </w:tcPr>
          <w:p w:rsidR="00AE2D7F" w:rsidRPr="00E27340" w:rsidRDefault="00AE2D7F" w:rsidP="00DD63C3">
            <w:pPr>
              <w:rPr>
                <w:rFonts w:cs="Arial"/>
                <w:sz w:val="20"/>
                <w:szCs w:val="20"/>
              </w:rPr>
            </w:pPr>
            <w:r w:rsidRPr="00E27340">
              <w:rPr>
                <w:rFonts w:cs="Arial"/>
                <w:sz w:val="20"/>
                <w:szCs w:val="20"/>
              </w:rPr>
              <w:t xml:space="preserve">Wu </w:t>
            </w:r>
            <w:r w:rsidRPr="00E27340">
              <w:rPr>
                <w:rFonts w:cs="Arial"/>
                <w:i/>
                <w:sz w:val="20"/>
                <w:szCs w:val="20"/>
              </w:rPr>
              <w:t>et al</w:t>
            </w:r>
            <w:r w:rsidRPr="00E27340">
              <w:rPr>
                <w:rFonts w:cs="Arial"/>
                <w:sz w:val="20"/>
                <w:szCs w:val="20"/>
              </w:rPr>
              <w:t xml:space="preserve"> (2018a)</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ICR mice</w:t>
            </w:r>
          </w:p>
        </w:tc>
        <w:tc>
          <w:tcPr>
            <w:tcW w:w="2693" w:type="dxa"/>
          </w:tcPr>
          <w:p w:rsidR="00AE2D7F" w:rsidRPr="00E27340" w:rsidRDefault="00A81B0E" w:rsidP="00DD63C3">
            <w:pPr>
              <w:rPr>
                <w:rFonts w:cs="Arial"/>
                <w:sz w:val="20"/>
                <w:szCs w:val="20"/>
              </w:rPr>
            </w:pPr>
            <w:r w:rsidRPr="00E27340">
              <w:rPr>
                <w:rFonts w:cs="Arial"/>
                <w:sz w:val="20"/>
                <w:szCs w:val="20"/>
              </w:rPr>
              <w:t>P</w:t>
            </w:r>
            <w:r w:rsidR="00AE2D7F" w:rsidRPr="00E27340">
              <w:rPr>
                <w:rFonts w:cs="Arial"/>
                <w:sz w:val="20"/>
                <w:szCs w:val="20"/>
              </w:rPr>
              <w:t>ropamocarb</w:t>
            </w:r>
            <w:r>
              <w:rPr>
                <w:rFonts w:cs="Arial"/>
                <w:sz w:val="20"/>
                <w:szCs w:val="20"/>
              </w:rPr>
              <w:t xml:space="preserve"> (1, 3 and 20  mg/l in drinking wayer)</w:t>
            </w:r>
          </w:p>
        </w:tc>
        <w:tc>
          <w:tcPr>
            <w:tcW w:w="6946" w:type="dxa"/>
          </w:tcPr>
          <w:p w:rsidR="00AE2D7F" w:rsidRPr="00E27340" w:rsidRDefault="00AE2D7F" w:rsidP="00DD63C3">
            <w:pPr>
              <w:rPr>
                <w:rFonts w:cs="Arial"/>
                <w:bCs/>
                <w:i/>
                <w:sz w:val="20"/>
                <w:szCs w:val="20"/>
                <w:shd w:val="clear" w:color="auto" w:fill="FFFFFF"/>
              </w:rPr>
            </w:pPr>
            <w:r>
              <w:rPr>
                <w:rFonts w:cs="Arial"/>
                <w:sz w:val="20"/>
                <w:szCs w:val="20"/>
              </w:rPr>
              <w:t>F</w:t>
            </w:r>
            <w:r w:rsidRPr="00E27340">
              <w:rPr>
                <w:rFonts w:cs="Arial"/>
                <w:sz w:val="20"/>
                <w:szCs w:val="20"/>
              </w:rPr>
              <w:t>aecal expression of genes involved with bile acid synthesis and transport increased. trimethylamine levels were increased</w:t>
            </w:r>
            <w:r w:rsidR="00CA5FB3">
              <w:rPr>
                <w:rFonts w:cs="Arial"/>
                <w:sz w:val="20"/>
                <w:szCs w:val="20"/>
              </w:rPr>
              <w:t xml:space="preserve"> </w:t>
            </w:r>
          </w:p>
        </w:tc>
        <w:tc>
          <w:tcPr>
            <w:tcW w:w="2187" w:type="dxa"/>
          </w:tcPr>
          <w:p w:rsidR="00AE2D7F" w:rsidRPr="00E27340" w:rsidRDefault="00AE2D7F" w:rsidP="00DD63C3">
            <w:pPr>
              <w:rPr>
                <w:rFonts w:cs="Arial"/>
                <w:sz w:val="20"/>
                <w:szCs w:val="20"/>
              </w:rPr>
            </w:pPr>
            <w:r w:rsidRPr="00E27340">
              <w:rPr>
                <w:rFonts w:cs="Arial"/>
                <w:sz w:val="20"/>
                <w:szCs w:val="20"/>
              </w:rPr>
              <w:t xml:space="preserve">Wu </w:t>
            </w:r>
            <w:r w:rsidRPr="00E27340">
              <w:rPr>
                <w:rFonts w:cs="Arial"/>
                <w:i/>
                <w:sz w:val="20"/>
                <w:szCs w:val="20"/>
              </w:rPr>
              <w:t>et al</w:t>
            </w:r>
            <w:r w:rsidRPr="00E27340">
              <w:rPr>
                <w:rFonts w:cs="Arial"/>
                <w:sz w:val="20"/>
                <w:szCs w:val="20"/>
              </w:rPr>
              <w:t xml:space="preserve"> (2018b)</w:t>
            </w:r>
          </w:p>
        </w:tc>
      </w:tr>
      <w:tr w:rsidR="00AE2D7F" w:rsidTr="00DD63C3">
        <w:tc>
          <w:tcPr>
            <w:tcW w:w="2122" w:type="dxa"/>
          </w:tcPr>
          <w:p w:rsidR="00AE2D7F" w:rsidRPr="00E27340" w:rsidRDefault="00AE2D7F" w:rsidP="00DD63C3">
            <w:pPr>
              <w:rPr>
                <w:rFonts w:cs="Arial"/>
                <w:sz w:val="20"/>
                <w:szCs w:val="20"/>
              </w:rPr>
            </w:pPr>
            <w:r>
              <w:rPr>
                <w:rFonts w:cs="Arial"/>
                <w:sz w:val="20"/>
                <w:szCs w:val="20"/>
              </w:rPr>
              <w:t>F</w:t>
            </w:r>
            <w:r w:rsidRPr="00E27340">
              <w:rPr>
                <w:rFonts w:cs="Arial"/>
                <w:sz w:val="20"/>
                <w:szCs w:val="20"/>
              </w:rPr>
              <w:t>emale Sprague Dawley rats</w:t>
            </w:r>
          </w:p>
        </w:tc>
        <w:tc>
          <w:tcPr>
            <w:tcW w:w="2693" w:type="dxa"/>
          </w:tcPr>
          <w:p w:rsidR="00AE2D7F" w:rsidRPr="00E27340" w:rsidRDefault="00A81B0E" w:rsidP="00DD63C3">
            <w:pPr>
              <w:rPr>
                <w:rFonts w:cs="Arial"/>
                <w:sz w:val="20"/>
                <w:szCs w:val="20"/>
              </w:rPr>
            </w:pPr>
            <w:r w:rsidRPr="00E27340">
              <w:rPr>
                <w:rFonts w:cs="Arial"/>
                <w:sz w:val="20"/>
                <w:szCs w:val="20"/>
              </w:rPr>
              <w:t>E</w:t>
            </w:r>
            <w:r w:rsidR="00AE2D7F" w:rsidRPr="00E27340">
              <w:rPr>
                <w:rFonts w:cs="Arial"/>
                <w:sz w:val="20"/>
                <w:szCs w:val="20"/>
              </w:rPr>
              <w:t>poxiconazole</w:t>
            </w:r>
            <w:r>
              <w:rPr>
                <w:rFonts w:cs="Arial"/>
                <w:sz w:val="20"/>
                <w:szCs w:val="20"/>
              </w:rPr>
              <w:t xml:space="preserve"> </w:t>
            </w:r>
            <w:r w:rsidRPr="00777FDC">
              <w:rPr>
                <w:rFonts w:cs="Arial"/>
                <w:iCs/>
                <w:sz w:val="20"/>
                <w:szCs w:val="20"/>
              </w:rPr>
              <w:t>4 and 100 mg/kg bodyweight for 90 days)</w:t>
            </w:r>
          </w:p>
        </w:tc>
        <w:tc>
          <w:tcPr>
            <w:tcW w:w="6946" w:type="dxa"/>
          </w:tcPr>
          <w:p w:rsidR="00AE2D7F" w:rsidRPr="00E27340" w:rsidRDefault="00AE2D7F" w:rsidP="00DD63C3">
            <w:pPr>
              <w:rPr>
                <w:rFonts w:cs="Arial"/>
                <w:bCs/>
                <w:i/>
                <w:sz w:val="20"/>
                <w:szCs w:val="20"/>
                <w:shd w:val="clear" w:color="auto" w:fill="FFFFFF"/>
              </w:rPr>
            </w:pPr>
            <w:r>
              <w:rPr>
                <w:rFonts w:cs="Arial"/>
                <w:sz w:val="20"/>
                <w:szCs w:val="20"/>
              </w:rPr>
              <w:t>I</w:t>
            </w:r>
            <w:r w:rsidRPr="00E27340">
              <w:rPr>
                <w:rFonts w:cs="Arial"/>
                <w:sz w:val="20"/>
                <w:szCs w:val="20"/>
              </w:rPr>
              <w:t xml:space="preserve">ncreasing </w:t>
            </w:r>
            <w:r w:rsidRPr="00E27340">
              <w:rPr>
                <w:rFonts w:cs="Arial"/>
                <w:i/>
                <w:sz w:val="20"/>
                <w:szCs w:val="20"/>
              </w:rPr>
              <w:t>Bacteroidetes</w:t>
            </w:r>
            <w:r w:rsidRPr="00E27340">
              <w:rPr>
                <w:rFonts w:cs="Arial"/>
                <w:sz w:val="20"/>
                <w:szCs w:val="20"/>
              </w:rPr>
              <w:t xml:space="preserve"> and the </w:t>
            </w:r>
            <w:r w:rsidRPr="00E27340">
              <w:rPr>
                <w:rFonts w:cs="Arial"/>
                <w:i/>
                <w:sz w:val="20"/>
                <w:szCs w:val="20"/>
              </w:rPr>
              <w:t xml:space="preserve">Proteobacteria </w:t>
            </w:r>
            <w:r w:rsidRPr="00E27340">
              <w:rPr>
                <w:rFonts w:cs="Arial"/>
                <w:sz w:val="20"/>
                <w:szCs w:val="20"/>
              </w:rPr>
              <w:t xml:space="preserve">decrease in </w:t>
            </w:r>
            <w:r w:rsidRPr="00E27340">
              <w:rPr>
                <w:rFonts w:cs="Arial"/>
                <w:i/>
                <w:sz w:val="20"/>
                <w:szCs w:val="20"/>
              </w:rPr>
              <w:t>Firmicutes</w:t>
            </w:r>
            <w:r w:rsidR="00326947">
              <w:rPr>
                <w:rFonts w:cs="Arial"/>
                <w:i/>
                <w:sz w:val="20"/>
                <w:szCs w:val="20"/>
              </w:rPr>
              <w:t xml:space="preserve"> </w:t>
            </w:r>
            <w:r w:rsidR="00326947" w:rsidRPr="007702DD">
              <w:rPr>
                <w:rFonts w:cs="Arial"/>
                <w:iCs/>
                <w:sz w:val="20"/>
                <w:szCs w:val="20"/>
              </w:rPr>
              <w:t>(</w:t>
            </w:r>
          </w:p>
        </w:tc>
        <w:tc>
          <w:tcPr>
            <w:tcW w:w="2187" w:type="dxa"/>
          </w:tcPr>
          <w:p w:rsidR="00AE2D7F" w:rsidRPr="00E27340" w:rsidRDefault="00AE2D7F" w:rsidP="00DD63C3">
            <w:pPr>
              <w:rPr>
                <w:rFonts w:cs="Arial"/>
                <w:sz w:val="20"/>
                <w:szCs w:val="20"/>
              </w:rPr>
            </w:pPr>
            <w:r w:rsidRPr="00E27340">
              <w:rPr>
                <w:rFonts w:cs="Arial"/>
                <w:sz w:val="20"/>
                <w:szCs w:val="20"/>
              </w:rPr>
              <w:t xml:space="preserve">Xu </w:t>
            </w:r>
            <w:r w:rsidRPr="00E27340">
              <w:rPr>
                <w:rFonts w:cs="Arial"/>
                <w:i/>
                <w:sz w:val="20"/>
                <w:szCs w:val="20"/>
              </w:rPr>
              <w:t>et al</w:t>
            </w:r>
            <w:r w:rsidRPr="00E27340">
              <w:rPr>
                <w:rFonts w:cs="Arial"/>
                <w:sz w:val="20"/>
                <w:szCs w:val="20"/>
              </w:rPr>
              <w:t xml:space="preserve"> (2014)</w:t>
            </w:r>
          </w:p>
        </w:tc>
      </w:tr>
      <w:tr w:rsidR="00AE2D7F" w:rsidTr="00DD63C3">
        <w:tc>
          <w:tcPr>
            <w:tcW w:w="2122" w:type="dxa"/>
          </w:tcPr>
          <w:p w:rsidR="00AE2D7F" w:rsidRPr="00E27340" w:rsidRDefault="00AE2D7F" w:rsidP="00DD63C3">
            <w:pPr>
              <w:rPr>
                <w:rFonts w:cs="Arial"/>
                <w:sz w:val="20"/>
                <w:szCs w:val="20"/>
              </w:rPr>
            </w:pPr>
            <w:r w:rsidRPr="00E27340">
              <w:rPr>
                <w:rFonts w:cs="Arial"/>
                <w:sz w:val="20"/>
                <w:szCs w:val="20"/>
              </w:rPr>
              <w:t>SPF C57BL/6 mice</w:t>
            </w:r>
          </w:p>
        </w:tc>
        <w:tc>
          <w:tcPr>
            <w:tcW w:w="2693" w:type="dxa"/>
          </w:tcPr>
          <w:p w:rsidR="00AE2D7F" w:rsidRPr="00E27340" w:rsidRDefault="00AE2D7F" w:rsidP="00DD63C3">
            <w:pPr>
              <w:rPr>
                <w:rFonts w:cs="Arial"/>
                <w:sz w:val="20"/>
                <w:szCs w:val="20"/>
              </w:rPr>
            </w:pPr>
            <w:r w:rsidRPr="00E27340">
              <w:rPr>
                <w:rFonts w:cs="Arial"/>
                <w:sz w:val="20"/>
                <w:szCs w:val="20"/>
              </w:rPr>
              <w:t>2,4-dichlorophenoxyacetic acid (2,4-D</w:t>
            </w:r>
            <w:r w:rsidR="00A81B0E">
              <w:rPr>
                <w:rFonts w:cs="Arial"/>
                <w:sz w:val="20"/>
                <w:szCs w:val="20"/>
              </w:rPr>
              <w:t>) (15 mg/kg bodyweight)</w:t>
            </w:r>
          </w:p>
        </w:tc>
        <w:tc>
          <w:tcPr>
            <w:tcW w:w="6946" w:type="dxa"/>
          </w:tcPr>
          <w:p w:rsidR="00AE2D7F" w:rsidRPr="00E27340" w:rsidRDefault="00AE2D7F" w:rsidP="00DD63C3">
            <w:pPr>
              <w:rPr>
                <w:rFonts w:cs="Arial"/>
                <w:bCs/>
                <w:i/>
                <w:sz w:val="20"/>
                <w:szCs w:val="20"/>
                <w:shd w:val="clear" w:color="auto" w:fill="FFFFFF"/>
              </w:rPr>
            </w:pPr>
            <w:r>
              <w:rPr>
                <w:rFonts w:cs="Arial"/>
                <w:sz w:val="20"/>
                <w:szCs w:val="20"/>
              </w:rPr>
              <w:t>I</w:t>
            </w:r>
            <w:r w:rsidRPr="00E27340">
              <w:rPr>
                <w:rFonts w:cs="Arial"/>
                <w:sz w:val="20"/>
                <w:szCs w:val="20"/>
              </w:rPr>
              <w:t xml:space="preserve">ncreased </w:t>
            </w:r>
            <w:r w:rsidRPr="00E27340">
              <w:rPr>
                <w:rFonts w:cs="Arial"/>
                <w:i/>
                <w:sz w:val="20"/>
                <w:szCs w:val="20"/>
              </w:rPr>
              <w:t>Bacteroidetes, Chlorobi, Chloroflexi, Spirochetes</w:t>
            </w:r>
            <w:r w:rsidRPr="00E27340">
              <w:rPr>
                <w:rFonts w:cs="Arial"/>
                <w:sz w:val="20"/>
                <w:szCs w:val="20"/>
              </w:rPr>
              <w:t xml:space="preserve"> and </w:t>
            </w:r>
            <w:r w:rsidRPr="00E27340">
              <w:rPr>
                <w:rFonts w:cs="Arial"/>
                <w:i/>
                <w:sz w:val="20"/>
                <w:szCs w:val="20"/>
              </w:rPr>
              <w:t xml:space="preserve">Thermotogae </w:t>
            </w:r>
            <w:r w:rsidRPr="00E27340">
              <w:rPr>
                <w:rFonts w:cs="Arial"/>
                <w:sz w:val="20"/>
                <w:szCs w:val="20"/>
              </w:rPr>
              <w:t xml:space="preserve">no change in </w:t>
            </w:r>
            <w:r w:rsidRPr="00E27340">
              <w:rPr>
                <w:rFonts w:cs="Arial"/>
                <w:i/>
                <w:sz w:val="20"/>
                <w:szCs w:val="20"/>
              </w:rPr>
              <w:t>Acidobacteria</w:t>
            </w:r>
            <w:r w:rsidRPr="00E27340">
              <w:rPr>
                <w:rFonts w:cs="Arial"/>
                <w:sz w:val="20"/>
                <w:szCs w:val="20"/>
              </w:rPr>
              <w:t>,</w:t>
            </w:r>
          </w:p>
        </w:tc>
        <w:tc>
          <w:tcPr>
            <w:tcW w:w="2187" w:type="dxa"/>
          </w:tcPr>
          <w:p w:rsidR="00AE2D7F" w:rsidRPr="00E27340" w:rsidRDefault="00AE2D7F" w:rsidP="00DD63C3">
            <w:pPr>
              <w:rPr>
                <w:rFonts w:cs="Arial"/>
                <w:sz w:val="20"/>
                <w:szCs w:val="20"/>
              </w:rPr>
            </w:pPr>
            <w:r w:rsidRPr="00E27340">
              <w:rPr>
                <w:rFonts w:cs="Arial"/>
                <w:sz w:val="20"/>
                <w:szCs w:val="20"/>
              </w:rPr>
              <w:t xml:space="preserve">Tu </w:t>
            </w:r>
            <w:r w:rsidRPr="00E27340">
              <w:rPr>
                <w:rFonts w:cs="Arial"/>
                <w:i/>
                <w:sz w:val="20"/>
                <w:szCs w:val="20"/>
              </w:rPr>
              <w:t>et al</w:t>
            </w:r>
            <w:r w:rsidRPr="00E27340">
              <w:rPr>
                <w:rFonts w:cs="Arial"/>
                <w:sz w:val="20"/>
                <w:szCs w:val="20"/>
              </w:rPr>
              <w:t xml:space="preserve"> (2019)</w:t>
            </w:r>
          </w:p>
        </w:tc>
      </w:tr>
    </w:tbl>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p w:rsidR="00AE2D7F" w:rsidRDefault="00AE2D7F" w:rsidP="00AE2D7F">
      <w:r>
        <w:t>Table 3. Reported experiments on the effects of antibiotics on the gut microbiota of mice and rats.</w:t>
      </w:r>
    </w:p>
    <w:tbl>
      <w:tblPr>
        <w:tblStyle w:val="TableGrid"/>
        <w:tblW w:w="0" w:type="auto"/>
        <w:tblLook w:val="04A0" w:firstRow="1" w:lastRow="0" w:firstColumn="1" w:lastColumn="0" w:noHBand="0" w:noVBand="1"/>
      </w:tblPr>
      <w:tblGrid>
        <w:gridCol w:w="3487"/>
        <w:gridCol w:w="3487"/>
        <w:gridCol w:w="3487"/>
        <w:gridCol w:w="3487"/>
      </w:tblGrid>
      <w:tr w:rsidR="00AE2D7F" w:rsidRPr="00545FB7" w:rsidTr="00DD63C3">
        <w:tc>
          <w:tcPr>
            <w:tcW w:w="3487" w:type="dxa"/>
          </w:tcPr>
          <w:p w:rsidR="00AE2D7F" w:rsidRPr="00545FB7" w:rsidRDefault="00AE2D7F" w:rsidP="00DD63C3">
            <w:pPr>
              <w:rPr>
                <w:rFonts w:cs="Arial"/>
                <w:sz w:val="20"/>
                <w:szCs w:val="20"/>
              </w:rPr>
            </w:pPr>
            <w:r>
              <w:rPr>
                <w:rFonts w:cs="Arial"/>
                <w:sz w:val="20"/>
                <w:szCs w:val="20"/>
              </w:rPr>
              <w:t>Animal</w:t>
            </w:r>
          </w:p>
        </w:tc>
        <w:tc>
          <w:tcPr>
            <w:tcW w:w="3487" w:type="dxa"/>
          </w:tcPr>
          <w:p w:rsidR="00AE2D7F" w:rsidRPr="00545FB7" w:rsidRDefault="00AE2D7F" w:rsidP="00DD63C3">
            <w:pPr>
              <w:rPr>
                <w:rFonts w:cs="Arial"/>
                <w:sz w:val="20"/>
                <w:szCs w:val="20"/>
              </w:rPr>
            </w:pPr>
            <w:r>
              <w:rPr>
                <w:rFonts w:cs="Arial"/>
                <w:sz w:val="20"/>
                <w:szCs w:val="20"/>
              </w:rPr>
              <w:t>Antibiotic</w:t>
            </w:r>
          </w:p>
        </w:tc>
        <w:tc>
          <w:tcPr>
            <w:tcW w:w="3487" w:type="dxa"/>
          </w:tcPr>
          <w:p w:rsidR="00AE2D7F" w:rsidRPr="00545FB7" w:rsidRDefault="00AE2D7F" w:rsidP="00DD63C3">
            <w:pPr>
              <w:rPr>
                <w:rFonts w:cs="Arial"/>
                <w:sz w:val="20"/>
                <w:szCs w:val="20"/>
              </w:rPr>
            </w:pPr>
            <w:r>
              <w:rPr>
                <w:rFonts w:cs="Arial"/>
                <w:sz w:val="20"/>
                <w:szCs w:val="20"/>
              </w:rPr>
              <w:t>Effect</w:t>
            </w:r>
          </w:p>
        </w:tc>
        <w:tc>
          <w:tcPr>
            <w:tcW w:w="3487" w:type="dxa"/>
          </w:tcPr>
          <w:p w:rsidR="00AE2D7F" w:rsidRPr="00545FB7" w:rsidRDefault="00AE2D7F" w:rsidP="00DD63C3">
            <w:pPr>
              <w:rPr>
                <w:rFonts w:cs="Arial"/>
                <w:sz w:val="20"/>
                <w:szCs w:val="20"/>
              </w:rPr>
            </w:pPr>
            <w:r>
              <w:rPr>
                <w:rFonts w:cs="Arial"/>
                <w:sz w:val="20"/>
                <w:szCs w:val="20"/>
              </w:rPr>
              <w:t>Reference</w:t>
            </w:r>
          </w:p>
        </w:tc>
      </w:tr>
      <w:tr w:rsidR="00AE2D7F" w:rsidRPr="00545FB7" w:rsidTr="00DD63C3">
        <w:tc>
          <w:tcPr>
            <w:tcW w:w="3487" w:type="dxa"/>
          </w:tcPr>
          <w:p w:rsidR="00AE2D7F" w:rsidRPr="00545FB7" w:rsidRDefault="00AE2D7F" w:rsidP="00DD63C3">
            <w:pPr>
              <w:rPr>
                <w:rFonts w:cs="Arial"/>
                <w:sz w:val="20"/>
                <w:szCs w:val="20"/>
              </w:rPr>
            </w:pPr>
            <w:r>
              <w:rPr>
                <w:rFonts w:cs="Arial"/>
                <w:sz w:val="20"/>
                <w:szCs w:val="20"/>
              </w:rPr>
              <w:t>M</w:t>
            </w:r>
            <w:r w:rsidRPr="00545FB7">
              <w:rPr>
                <w:rFonts w:cs="Arial"/>
                <w:sz w:val="20"/>
                <w:szCs w:val="20"/>
              </w:rPr>
              <w:t>ale C57BL/6 mice</w:t>
            </w:r>
          </w:p>
        </w:tc>
        <w:tc>
          <w:tcPr>
            <w:tcW w:w="3487" w:type="dxa"/>
          </w:tcPr>
          <w:p w:rsidR="00AE2D7F" w:rsidRPr="00545FB7" w:rsidRDefault="00AE2D7F" w:rsidP="00DD63C3">
            <w:pPr>
              <w:rPr>
                <w:rFonts w:cs="Arial"/>
                <w:sz w:val="20"/>
                <w:szCs w:val="20"/>
              </w:rPr>
            </w:pPr>
            <w:r w:rsidRPr="00545FB7">
              <w:rPr>
                <w:rFonts w:cs="Arial"/>
                <w:sz w:val="20"/>
                <w:szCs w:val="20"/>
              </w:rPr>
              <w:t>Ampicillin</w:t>
            </w:r>
            <w:r w:rsidR="000F63A1">
              <w:rPr>
                <w:rFonts w:cs="Arial"/>
                <w:sz w:val="20"/>
                <w:szCs w:val="20"/>
              </w:rPr>
              <w:t xml:space="preserve"> (30 mg/kg bw)</w:t>
            </w:r>
            <w:r w:rsidRPr="00545FB7">
              <w:rPr>
                <w:rFonts w:cs="Arial"/>
                <w:sz w:val="20"/>
                <w:szCs w:val="20"/>
              </w:rPr>
              <w:t xml:space="preserve"> and tetracycline</w:t>
            </w:r>
            <w:r w:rsidR="000F63A1">
              <w:rPr>
                <w:rFonts w:cs="Arial"/>
                <w:sz w:val="20"/>
                <w:szCs w:val="20"/>
              </w:rPr>
              <w:t xml:space="preserve"> (2 and 50 mg/kg bw)</w:t>
            </w:r>
          </w:p>
        </w:tc>
        <w:tc>
          <w:tcPr>
            <w:tcW w:w="3487" w:type="dxa"/>
          </w:tcPr>
          <w:p w:rsidR="00AE2D7F" w:rsidRPr="00545FB7" w:rsidRDefault="00AE2D7F" w:rsidP="00DD63C3">
            <w:pPr>
              <w:rPr>
                <w:rFonts w:cs="Arial"/>
                <w:sz w:val="20"/>
                <w:szCs w:val="20"/>
              </w:rPr>
            </w:pPr>
            <w:r w:rsidRPr="00545FB7">
              <w:rPr>
                <w:rFonts w:cs="Arial"/>
                <w:sz w:val="20"/>
                <w:szCs w:val="20"/>
              </w:rPr>
              <w:t xml:space="preserve">Gut antibiotic resistance increased with treatment but for ampicillin, </w:t>
            </w:r>
            <w:r>
              <w:rPr>
                <w:rFonts w:cs="Arial"/>
                <w:sz w:val="20"/>
                <w:szCs w:val="20"/>
              </w:rPr>
              <w:t>but</w:t>
            </w:r>
            <w:r w:rsidRPr="00545FB7">
              <w:rPr>
                <w:rFonts w:cs="Arial"/>
                <w:sz w:val="20"/>
                <w:szCs w:val="20"/>
              </w:rPr>
              <w:t xml:space="preserve"> the effect was smaller for iv than for oral </w:t>
            </w:r>
            <w:r>
              <w:rPr>
                <w:rFonts w:cs="Arial"/>
                <w:sz w:val="20"/>
                <w:szCs w:val="20"/>
              </w:rPr>
              <w:t>dosing</w:t>
            </w:r>
            <w:r w:rsidRPr="00545FB7">
              <w:rPr>
                <w:rFonts w:cs="Arial"/>
                <w:sz w:val="20"/>
                <w:szCs w:val="20"/>
              </w:rPr>
              <w:t>. Tetracycline, however, is excreted by both the kidney and the GI tract, so the microbiota were exposed by both routes of treatment.</w:t>
            </w:r>
          </w:p>
        </w:tc>
        <w:tc>
          <w:tcPr>
            <w:tcW w:w="3487" w:type="dxa"/>
          </w:tcPr>
          <w:p w:rsidR="00AE2D7F" w:rsidRPr="00545FB7" w:rsidRDefault="00AE2D7F" w:rsidP="00DD63C3">
            <w:pPr>
              <w:rPr>
                <w:rFonts w:cs="Arial"/>
                <w:sz w:val="20"/>
                <w:szCs w:val="20"/>
              </w:rPr>
            </w:pPr>
            <w:r w:rsidRPr="00545FB7">
              <w:rPr>
                <w:rFonts w:cs="Arial"/>
                <w:sz w:val="20"/>
                <w:szCs w:val="20"/>
              </w:rPr>
              <w:t xml:space="preserve">Zhang </w:t>
            </w:r>
            <w:r w:rsidRPr="00545FB7">
              <w:rPr>
                <w:rFonts w:cs="Arial"/>
                <w:i/>
                <w:sz w:val="20"/>
                <w:szCs w:val="20"/>
              </w:rPr>
              <w:t>et al</w:t>
            </w:r>
            <w:r w:rsidRPr="00545FB7">
              <w:rPr>
                <w:rFonts w:cs="Arial"/>
                <w:sz w:val="20"/>
                <w:szCs w:val="20"/>
              </w:rPr>
              <w:t xml:space="preserve"> (2013)</w:t>
            </w:r>
          </w:p>
        </w:tc>
      </w:tr>
      <w:tr w:rsidR="00AE2D7F" w:rsidRPr="00545FB7" w:rsidTr="00DD63C3">
        <w:tc>
          <w:tcPr>
            <w:tcW w:w="3487" w:type="dxa"/>
          </w:tcPr>
          <w:p w:rsidR="00AE2D7F" w:rsidRPr="00545FB7" w:rsidRDefault="00AE2D7F" w:rsidP="00DD63C3">
            <w:pPr>
              <w:rPr>
                <w:rFonts w:cs="Arial"/>
                <w:sz w:val="20"/>
                <w:szCs w:val="20"/>
              </w:rPr>
            </w:pPr>
            <w:r w:rsidRPr="00545FB7">
              <w:rPr>
                <w:rFonts w:cs="Arial"/>
                <w:sz w:val="20"/>
                <w:szCs w:val="20"/>
              </w:rPr>
              <w:t>Pregnant C57 Bl/6 mice</w:t>
            </w:r>
          </w:p>
        </w:tc>
        <w:tc>
          <w:tcPr>
            <w:tcW w:w="3487" w:type="dxa"/>
          </w:tcPr>
          <w:p w:rsidR="00AE2D7F" w:rsidRPr="00545FB7" w:rsidRDefault="00AE2D7F" w:rsidP="00DD63C3">
            <w:pPr>
              <w:rPr>
                <w:rFonts w:cs="Arial"/>
                <w:sz w:val="20"/>
                <w:szCs w:val="20"/>
              </w:rPr>
            </w:pPr>
            <w:r>
              <w:rPr>
                <w:rFonts w:cs="Arial"/>
                <w:sz w:val="20"/>
                <w:szCs w:val="20"/>
              </w:rPr>
              <w:t>P</w:t>
            </w:r>
            <w:r w:rsidRPr="00545FB7">
              <w:rPr>
                <w:rFonts w:cs="Arial"/>
                <w:sz w:val="20"/>
                <w:szCs w:val="20"/>
              </w:rPr>
              <w:t>enicillin V</w:t>
            </w:r>
            <w:r w:rsidR="000D29A5">
              <w:rPr>
                <w:rFonts w:cs="Arial"/>
                <w:sz w:val="20"/>
                <w:szCs w:val="20"/>
              </w:rPr>
              <w:t xml:space="preserve"> (31 mg/kg bw / day)</w:t>
            </w:r>
          </w:p>
        </w:tc>
        <w:tc>
          <w:tcPr>
            <w:tcW w:w="3487" w:type="dxa"/>
          </w:tcPr>
          <w:p w:rsidR="00AE2D7F" w:rsidRPr="00545FB7" w:rsidRDefault="00AE2D7F" w:rsidP="00DD63C3">
            <w:pPr>
              <w:rPr>
                <w:rFonts w:cs="Arial"/>
                <w:sz w:val="20"/>
                <w:szCs w:val="20"/>
              </w:rPr>
            </w:pPr>
            <w:r w:rsidRPr="00545FB7">
              <w:rPr>
                <w:rFonts w:cs="Arial"/>
                <w:sz w:val="20"/>
                <w:szCs w:val="20"/>
              </w:rPr>
              <w:t>A</w:t>
            </w:r>
            <w:r w:rsidRPr="00545FB7">
              <w:rPr>
                <w:rFonts w:cs="Arial"/>
                <w:i/>
                <w:sz w:val="20"/>
                <w:szCs w:val="20"/>
              </w:rPr>
              <w:t>ctinobacteria</w:t>
            </w:r>
            <w:r w:rsidRPr="00545FB7">
              <w:rPr>
                <w:rFonts w:cs="Arial"/>
                <w:sz w:val="20"/>
                <w:szCs w:val="20"/>
              </w:rPr>
              <w:t xml:space="preserve"> decreased, </w:t>
            </w:r>
            <w:r w:rsidRPr="00545FB7">
              <w:rPr>
                <w:rFonts w:cs="Arial"/>
                <w:i/>
                <w:sz w:val="20"/>
                <w:szCs w:val="20"/>
              </w:rPr>
              <w:t>Bacteroidetes</w:t>
            </w:r>
            <w:r>
              <w:rPr>
                <w:rFonts w:cs="Arial"/>
                <w:i/>
                <w:sz w:val="20"/>
                <w:szCs w:val="20"/>
              </w:rPr>
              <w:t xml:space="preserve"> and </w:t>
            </w:r>
            <w:r w:rsidRPr="00545FB7">
              <w:rPr>
                <w:rFonts w:cs="Arial"/>
                <w:i/>
                <w:sz w:val="20"/>
                <w:szCs w:val="20"/>
              </w:rPr>
              <w:t>Firmicutes</w:t>
            </w:r>
            <w:r w:rsidRPr="00545FB7">
              <w:rPr>
                <w:rFonts w:cs="Arial"/>
                <w:sz w:val="20"/>
                <w:szCs w:val="20"/>
              </w:rPr>
              <w:t xml:space="preserve"> </w:t>
            </w:r>
            <w:r>
              <w:rPr>
                <w:rFonts w:cs="Arial"/>
                <w:sz w:val="20"/>
                <w:szCs w:val="20"/>
              </w:rPr>
              <w:t xml:space="preserve">both </w:t>
            </w:r>
            <w:r w:rsidRPr="00545FB7">
              <w:rPr>
                <w:rFonts w:cs="Arial"/>
                <w:sz w:val="20"/>
                <w:szCs w:val="20"/>
              </w:rPr>
              <w:t xml:space="preserve">increased </w:t>
            </w:r>
          </w:p>
        </w:tc>
        <w:tc>
          <w:tcPr>
            <w:tcW w:w="3487" w:type="dxa"/>
          </w:tcPr>
          <w:p w:rsidR="00AE2D7F" w:rsidRPr="00545FB7" w:rsidRDefault="00AE2D7F" w:rsidP="00DD63C3">
            <w:pPr>
              <w:rPr>
                <w:rFonts w:cs="Arial"/>
                <w:sz w:val="20"/>
                <w:szCs w:val="20"/>
              </w:rPr>
            </w:pPr>
            <w:r w:rsidRPr="00545FB7">
              <w:rPr>
                <w:rFonts w:cs="Arial"/>
                <w:sz w:val="20"/>
                <w:szCs w:val="20"/>
              </w:rPr>
              <w:t>Leclercq</w:t>
            </w:r>
            <w:r w:rsidRPr="00545FB7">
              <w:rPr>
                <w:rFonts w:cs="Arial"/>
                <w:i/>
                <w:sz w:val="20"/>
                <w:szCs w:val="20"/>
              </w:rPr>
              <w:t xml:space="preserve"> et al </w:t>
            </w:r>
            <w:r w:rsidRPr="00545FB7">
              <w:rPr>
                <w:rFonts w:cs="Arial"/>
                <w:sz w:val="20"/>
                <w:szCs w:val="20"/>
              </w:rPr>
              <w:t>(2016)</w:t>
            </w:r>
          </w:p>
        </w:tc>
      </w:tr>
      <w:tr w:rsidR="00AE2D7F" w:rsidRPr="00545FB7" w:rsidTr="00DD63C3">
        <w:tc>
          <w:tcPr>
            <w:tcW w:w="3487" w:type="dxa"/>
          </w:tcPr>
          <w:p w:rsidR="00AE2D7F" w:rsidRPr="00545FB7" w:rsidRDefault="00AE2D7F" w:rsidP="00DD63C3">
            <w:pPr>
              <w:rPr>
                <w:rFonts w:cs="Arial"/>
                <w:sz w:val="20"/>
                <w:szCs w:val="20"/>
              </w:rPr>
            </w:pPr>
            <w:r>
              <w:rPr>
                <w:rFonts w:cs="Arial"/>
                <w:sz w:val="20"/>
                <w:szCs w:val="20"/>
              </w:rPr>
              <w:t>M</w:t>
            </w:r>
            <w:r w:rsidRPr="00545FB7">
              <w:rPr>
                <w:rFonts w:cs="Arial"/>
                <w:sz w:val="20"/>
                <w:szCs w:val="20"/>
              </w:rPr>
              <w:t>ale and female Wistar rats</w:t>
            </w:r>
          </w:p>
        </w:tc>
        <w:tc>
          <w:tcPr>
            <w:tcW w:w="3487" w:type="dxa"/>
          </w:tcPr>
          <w:p w:rsidR="00AE2D7F" w:rsidRPr="00545FB7" w:rsidRDefault="00AE2D7F" w:rsidP="00DD63C3">
            <w:pPr>
              <w:rPr>
                <w:rFonts w:cs="Arial"/>
                <w:sz w:val="20"/>
                <w:szCs w:val="20"/>
              </w:rPr>
            </w:pPr>
            <w:r w:rsidRPr="00545FB7">
              <w:rPr>
                <w:rFonts w:cs="Arial"/>
                <w:sz w:val="20"/>
                <w:szCs w:val="20"/>
              </w:rPr>
              <w:t>4-EOTC, a major oxytetracycline metabolite</w:t>
            </w:r>
            <w:r w:rsidR="000D29A5">
              <w:rPr>
                <w:rFonts w:cs="Arial"/>
                <w:sz w:val="20"/>
                <w:szCs w:val="20"/>
              </w:rPr>
              <w:t xml:space="preserve"> (5 or 50 mg/kg bw)</w:t>
            </w:r>
          </w:p>
        </w:tc>
        <w:tc>
          <w:tcPr>
            <w:tcW w:w="3487" w:type="dxa"/>
          </w:tcPr>
          <w:p w:rsidR="00AE2D7F" w:rsidRPr="00545FB7" w:rsidRDefault="00AE2D7F" w:rsidP="00DD63C3">
            <w:pPr>
              <w:rPr>
                <w:rFonts w:cs="Arial"/>
                <w:sz w:val="20"/>
                <w:szCs w:val="20"/>
              </w:rPr>
            </w:pPr>
            <w:r>
              <w:rPr>
                <w:rFonts w:cs="Arial"/>
                <w:sz w:val="20"/>
                <w:szCs w:val="20"/>
              </w:rPr>
              <w:t>Fall in</w:t>
            </w:r>
            <w:r w:rsidRPr="00545FB7">
              <w:rPr>
                <w:rFonts w:cs="Arial"/>
                <w:sz w:val="20"/>
                <w:szCs w:val="20"/>
              </w:rPr>
              <w:t xml:space="preserve"> </w:t>
            </w:r>
            <w:r w:rsidRPr="00545FB7">
              <w:rPr>
                <w:rFonts w:cs="Arial"/>
                <w:i/>
                <w:sz w:val="20"/>
                <w:szCs w:val="20"/>
              </w:rPr>
              <w:t>Bacteroidetes</w:t>
            </w:r>
            <w:r>
              <w:rPr>
                <w:rFonts w:cs="Arial"/>
                <w:i/>
                <w:sz w:val="20"/>
                <w:szCs w:val="20"/>
              </w:rPr>
              <w:t>.</w:t>
            </w:r>
            <w:r w:rsidRPr="00545FB7">
              <w:rPr>
                <w:rFonts w:cs="Arial"/>
                <w:sz w:val="20"/>
                <w:szCs w:val="20"/>
              </w:rPr>
              <w:t xml:space="preserve"> </w:t>
            </w:r>
            <w:r w:rsidRPr="00545FB7">
              <w:rPr>
                <w:rFonts w:cs="Arial"/>
                <w:i/>
                <w:sz w:val="20"/>
                <w:szCs w:val="20"/>
              </w:rPr>
              <w:t xml:space="preserve">Actinomycetes </w:t>
            </w:r>
            <w:r>
              <w:rPr>
                <w:rFonts w:cs="Arial"/>
                <w:i/>
                <w:sz w:val="20"/>
                <w:szCs w:val="20"/>
              </w:rPr>
              <w:t>(</w:t>
            </w:r>
            <w:r w:rsidRPr="00545FB7">
              <w:rPr>
                <w:rFonts w:cs="Arial"/>
                <w:i/>
                <w:sz w:val="20"/>
                <w:szCs w:val="20"/>
              </w:rPr>
              <w:t>Bifidobacteria</w:t>
            </w:r>
            <w:r>
              <w:rPr>
                <w:rFonts w:cs="Arial"/>
                <w:i/>
                <w:sz w:val="20"/>
                <w:szCs w:val="20"/>
              </w:rPr>
              <w:t>) increased</w:t>
            </w:r>
            <w:r w:rsidRPr="00545FB7">
              <w:rPr>
                <w:rFonts w:cs="Arial"/>
                <w:sz w:val="20"/>
                <w:szCs w:val="20"/>
              </w:rPr>
              <w:t xml:space="preserve">. The families </w:t>
            </w:r>
            <w:r w:rsidRPr="00545FB7">
              <w:rPr>
                <w:rFonts w:cs="Arial"/>
                <w:i/>
                <w:sz w:val="20"/>
                <w:szCs w:val="20"/>
              </w:rPr>
              <w:t>Lactobacilliaceae (Helicobacteriaceae</w:t>
            </w:r>
            <w:r w:rsidRPr="00545FB7">
              <w:rPr>
                <w:rFonts w:cs="Arial"/>
                <w:sz w:val="20"/>
                <w:szCs w:val="20"/>
              </w:rPr>
              <w:t xml:space="preserve"> depleted. Tetracycline resistance increased </w:t>
            </w:r>
          </w:p>
        </w:tc>
        <w:tc>
          <w:tcPr>
            <w:tcW w:w="3487" w:type="dxa"/>
          </w:tcPr>
          <w:p w:rsidR="00AE2D7F" w:rsidRPr="00545FB7" w:rsidRDefault="00AE2D7F" w:rsidP="00DD63C3">
            <w:pPr>
              <w:rPr>
                <w:rFonts w:cs="Arial"/>
                <w:sz w:val="20"/>
                <w:szCs w:val="20"/>
              </w:rPr>
            </w:pPr>
            <w:r w:rsidRPr="00545FB7">
              <w:rPr>
                <w:rFonts w:cs="Arial"/>
                <w:sz w:val="20"/>
                <w:szCs w:val="20"/>
              </w:rPr>
              <w:t xml:space="preserve">Han </w:t>
            </w:r>
            <w:r w:rsidRPr="00545FB7">
              <w:rPr>
                <w:rFonts w:cs="Arial"/>
                <w:i/>
                <w:sz w:val="20"/>
                <w:szCs w:val="20"/>
              </w:rPr>
              <w:t>et al</w:t>
            </w:r>
            <w:r w:rsidRPr="00545FB7">
              <w:rPr>
                <w:rFonts w:cs="Arial"/>
                <w:sz w:val="20"/>
                <w:szCs w:val="20"/>
              </w:rPr>
              <w:t xml:space="preserve"> (2016)</w:t>
            </w:r>
          </w:p>
        </w:tc>
      </w:tr>
      <w:tr w:rsidR="00AE2D7F" w:rsidRPr="00545FB7" w:rsidTr="00DD63C3">
        <w:tc>
          <w:tcPr>
            <w:tcW w:w="3487" w:type="dxa"/>
          </w:tcPr>
          <w:p w:rsidR="00AE2D7F" w:rsidRPr="00545FB7" w:rsidRDefault="00AE2D7F" w:rsidP="00DD63C3">
            <w:pPr>
              <w:rPr>
                <w:rFonts w:cs="Arial"/>
                <w:sz w:val="20"/>
                <w:szCs w:val="20"/>
              </w:rPr>
            </w:pPr>
            <w:r w:rsidRPr="00545FB7">
              <w:rPr>
                <w:rFonts w:cs="Arial"/>
                <w:sz w:val="20"/>
                <w:szCs w:val="20"/>
              </w:rPr>
              <w:t>Male Sprague Dawley rats</w:t>
            </w:r>
          </w:p>
        </w:tc>
        <w:tc>
          <w:tcPr>
            <w:tcW w:w="3487" w:type="dxa"/>
          </w:tcPr>
          <w:p w:rsidR="00AE2D7F" w:rsidRPr="00545FB7" w:rsidRDefault="00AE2D7F" w:rsidP="00DD63C3">
            <w:pPr>
              <w:rPr>
                <w:rFonts w:cs="Arial"/>
                <w:sz w:val="20"/>
                <w:szCs w:val="20"/>
              </w:rPr>
            </w:pPr>
            <w:r w:rsidRPr="00545FB7">
              <w:rPr>
                <w:rFonts w:cs="Arial"/>
                <w:sz w:val="20"/>
                <w:szCs w:val="20"/>
              </w:rPr>
              <w:t>Ampicillin</w:t>
            </w:r>
            <w:r w:rsidR="000D29A5">
              <w:rPr>
                <w:rFonts w:cs="Arial"/>
                <w:sz w:val="20"/>
                <w:szCs w:val="20"/>
              </w:rPr>
              <w:t xml:space="preserve"> (</w:t>
            </w:r>
            <w:r w:rsidR="00747ECC">
              <w:rPr>
                <w:rFonts w:cs="Arial"/>
                <w:sz w:val="20"/>
                <w:szCs w:val="20"/>
              </w:rPr>
              <w:t xml:space="preserve">alone  at </w:t>
            </w:r>
            <w:r w:rsidR="000D29A5">
              <w:rPr>
                <w:rFonts w:cs="Arial"/>
                <w:sz w:val="20"/>
                <w:szCs w:val="20"/>
              </w:rPr>
              <w:t>90 mg/kg bw)</w:t>
            </w:r>
            <w:r w:rsidRPr="00545FB7">
              <w:rPr>
                <w:rFonts w:cs="Arial"/>
                <w:sz w:val="20"/>
                <w:szCs w:val="20"/>
              </w:rPr>
              <w:t xml:space="preserve">, </w:t>
            </w:r>
            <w:r w:rsidR="00747ECC">
              <w:rPr>
                <w:rFonts w:cs="Arial"/>
                <w:sz w:val="20"/>
                <w:szCs w:val="20"/>
              </w:rPr>
              <w:t xml:space="preserve">or cocktail of ampicillin, </w:t>
            </w:r>
            <w:r w:rsidRPr="00545FB7">
              <w:rPr>
                <w:rFonts w:cs="Arial"/>
                <w:sz w:val="20"/>
                <w:szCs w:val="20"/>
              </w:rPr>
              <w:t>neomycin, gentamicin, metronidazole</w:t>
            </w:r>
            <w:r w:rsidR="00747ECC">
              <w:rPr>
                <w:rFonts w:cs="Arial"/>
                <w:sz w:val="20"/>
                <w:szCs w:val="20"/>
              </w:rPr>
              <w:t xml:space="preserve"> (all at 1.75 mg/kg bw)</w:t>
            </w:r>
            <w:r w:rsidRPr="00545FB7">
              <w:rPr>
                <w:rFonts w:cs="Arial"/>
                <w:sz w:val="20"/>
                <w:szCs w:val="20"/>
              </w:rPr>
              <w:t xml:space="preserve"> and vancomycin</w:t>
            </w:r>
            <w:r w:rsidR="00747ECC">
              <w:rPr>
                <w:rFonts w:cs="Arial"/>
                <w:sz w:val="20"/>
                <w:szCs w:val="20"/>
              </w:rPr>
              <w:t xml:space="preserve"> (0.875 mg/kg bw)</w:t>
            </w:r>
            <w:r>
              <w:rPr>
                <w:rFonts w:cs="Arial"/>
                <w:sz w:val="20"/>
                <w:szCs w:val="20"/>
              </w:rPr>
              <w:t xml:space="preserve">, then </w:t>
            </w:r>
            <w:r w:rsidRPr="00545FB7">
              <w:rPr>
                <w:rFonts w:cs="Arial"/>
                <w:sz w:val="20"/>
                <w:szCs w:val="20"/>
              </w:rPr>
              <w:t>mixed atrazine, simazine, ametryn, terbuthylazine and metribuzin</w:t>
            </w:r>
            <w:r w:rsidR="00747ECC">
              <w:rPr>
                <w:rFonts w:cs="Arial"/>
                <w:sz w:val="20"/>
                <w:szCs w:val="20"/>
              </w:rPr>
              <w:t xml:space="preserve"> (all at 2 or 20 mg/kg bw)</w:t>
            </w:r>
            <w:r w:rsidRPr="00545FB7">
              <w:rPr>
                <w:rFonts w:cs="Arial"/>
                <w:sz w:val="20"/>
                <w:szCs w:val="20"/>
              </w:rPr>
              <w:t>.</w:t>
            </w:r>
          </w:p>
        </w:tc>
        <w:tc>
          <w:tcPr>
            <w:tcW w:w="3487" w:type="dxa"/>
          </w:tcPr>
          <w:p w:rsidR="00AE2D7F" w:rsidRPr="00545FB7" w:rsidRDefault="00AE2D7F" w:rsidP="00DD63C3">
            <w:pPr>
              <w:rPr>
                <w:rFonts w:cs="Arial"/>
                <w:sz w:val="20"/>
                <w:szCs w:val="20"/>
              </w:rPr>
            </w:pPr>
            <w:r w:rsidRPr="00545FB7">
              <w:rPr>
                <w:rFonts w:cs="Arial"/>
                <w:sz w:val="20"/>
                <w:szCs w:val="20"/>
              </w:rPr>
              <w:t>Increased bioavailability of all the triazines without affecting microbial or hepatic triazine metabolism.</w:t>
            </w:r>
          </w:p>
        </w:tc>
        <w:tc>
          <w:tcPr>
            <w:tcW w:w="3487" w:type="dxa"/>
          </w:tcPr>
          <w:p w:rsidR="00AE2D7F" w:rsidRPr="00545FB7" w:rsidRDefault="00AE2D7F" w:rsidP="00DD63C3">
            <w:pPr>
              <w:rPr>
                <w:rFonts w:cs="Arial"/>
                <w:sz w:val="20"/>
                <w:szCs w:val="20"/>
              </w:rPr>
            </w:pPr>
            <w:r w:rsidRPr="00545FB7">
              <w:rPr>
                <w:rFonts w:cs="Arial"/>
                <w:sz w:val="20"/>
                <w:szCs w:val="20"/>
              </w:rPr>
              <w:t xml:space="preserve">Zhan </w:t>
            </w:r>
            <w:r w:rsidRPr="00545FB7">
              <w:rPr>
                <w:rFonts w:cs="Arial"/>
                <w:i/>
                <w:sz w:val="20"/>
                <w:szCs w:val="20"/>
              </w:rPr>
              <w:t>et al</w:t>
            </w:r>
            <w:r w:rsidRPr="00545FB7">
              <w:rPr>
                <w:rFonts w:cs="Arial"/>
                <w:sz w:val="20"/>
                <w:szCs w:val="20"/>
              </w:rPr>
              <w:t xml:space="preserve"> (2018)</w:t>
            </w:r>
          </w:p>
        </w:tc>
      </w:tr>
      <w:tr w:rsidR="00AE2D7F" w:rsidRPr="00545FB7" w:rsidTr="00DD63C3">
        <w:tc>
          <w:tcPr>
            <w:tcW w:w="3487" w:type="dxa"/>
          </w:tcPr>
          <w:p w:rsidR="00AE2D7F" w:rsidRPr="00545FB7" w:rsidRDefault="00AE2D7F" w:rsidP="00DD63C3">
            <w:pPr>
              <w:rPr>
                <w:rFonts w:cs="Arial"/>
                <w:sz w:val="20"/>
                <w:szCs w:val="20"/>
              </w:rPr>
            </w:pPr>
            <w:r w:rsidRPr="00545FB7">
              <w:rPr>
                <w:rFonts w:cs="Arial"/>
                <w:sz w:val="20"/>
                <w:szCs w:val="20"/>
              </w:rPr>
              <w:t>Weanling C57BL6 mice</w:t>
            </w:r>
          </w:p>
        </w:tc>
        <w:tc>
          <w:tcPr>
            <w:tcW w:w="3487" w:type="dxa"/>
          </w:tcPr>
          <w:p w:rsidR="00AE2D7F" w:rsidRPr="00545FB7" w:rsidRDefault="00AE2D7F" w:rsidP="00DD63C3">
            <w:pPr>
              <w:rPr>
                <w:rFonts w:cs="Arial"/>
                <w:sz w:val="20"/>
                <w:szCs w:val="20"/>
              </w:rPr>
            </w:pPr>
            <w:r>
              <w:rPr>
                <w:rFonts w:cs="Arial"/>
                <w:sz w:val="20"/>
                <w:szCs w:val="20"/>
              </w:rPr>
              <w:t>P</w:t>
            </w:r>
            <w:r w:rsidRPr="00545FB7">
              <w:rPr>
                <w:rFonts w:cs="Arial"/>
                <w:sz w:val="20"/>
                <w:szCs w:val="20"/>
              </w:rPr>
              <w:t>enicillin, vancomycin, penicillin-plus-vancomycin or chlortetracycline for 7 weeks,</w:t>
            </w:r>
            <w:r w:rsidR="00747ECC">
              <w:rPr>
                <w:rFonts w:cs="Arial"/>
                <w:sz w:val="20"/>
                <w:szCs w:val="20"/>
              </w:rPr>
              <w:t xml:space="preserve"> all at 1 mg/kg bw</w:t>
            </w:r>
            <w:r w:rsidRPr="00545FB7">
              <w:rPr>
                <w:rFonts w:cs="Arial"/>
                <w:sz w:val="20"/>
                <w:szCs w:val="20"/>
              </w:rPr>
              <w:t xml:space="preserve"> in drinking water</w:t>
            </w:r>
          </w:p>
        </w:tc>
        <w:tc>
          <w:tcPr>
            <w:tcW w:w="3487" w:type="dxa"/>
          </w:tcPr>
          <w:p w:rsidR="00AE2D7F" w:rsidRPr="00545FB7" w:rsidRDefault="00AE2D7F" w:rsidP="00DD63C3">
            <w:pPr>
              <w:rPr>
                <w:rFonts w:cs="Arial"/>
                <w:sz w:val="20"/>
                <w:szCs w:val="20"/>
              </w:rPr>
            </w:pPr>
            <w:r w:rsidRPr="00545FB7">
              <w:rPr>
                <w:rFonts w:cs="Arial"/>
                <w:i/>
                <w:sz w:val="20"/>
                <w:szCs w:val="20"/>
              </w:rPr>
              <w:t xml:space="preserve">Lachnospiriaceae </w:t>
            </w:r>
            <w:r w:rsidRPr="00545FB7">
              <w:rPr>
                <w:rFonts w:cs="Arial"/>
                <w:sz w:val="20"/>
                <w:szCs w:val="20"/>
              </w:rPr>
              <w:t>family increased,</w:t>
            </w:r>
            <w:r>
              <w:rPr>
                <w:rFonts w:cs="Arial"/>
                <w:sz w:val="20"/>
                <w:szCs w:val="20"/>
              </w:rPr>
              <w:t xml:space="preserve"> </w:t>
            </w:r>
            <w:r w:rsidRPr="00545FB7">
              <w:rPr>
                <w:rFonts w:cs="Arial"/>
                <w:i/>
                <w:sz w:val="20"/>
                <w:szCs w:val="20"/>
              </w:rPr>
              <w:t xml:space="preserve">F/ B </w:t>
            </w:r>
            <w:r w:rsidRPr="00545FB7">
              <w:rPr>
                <w:rFonts w:cs="Arial"/>
                <w:sz w:val="20"/>
                <w:szCs w:val="20"/>
              </w:rPr>
              <w:t>ratio increased. Butyryl</w:t>
            </w:r>
            <w:r>
              <w:rPr>
                <w:rFonts w:cs="Arial"/>
                <w:sz w:val="20"/>
                <w:szCs w:val="20"/>
              </w:rPr>
              <w:t xml:space="preserve"> </w:t>
            </w:r>
            <w:r w:rsidRPr="00545FB7">
              <w:rPr>
                <w:rFonts w:cs="Arial"/>
                <w:sz w:val="20"/>
                <w:szCs w:val="20"/>
              </w:rPr>
              <w:t>CoA transferase copy number decreased at 3 weeks but increased, along with</w:t>
            </w:r>
            <w:r>
              <w:rPr>
                <w:rFonts w:cs="Arial"/>
                <w:sz w:val="20"/>
                <w:szCs w:val="20"/>
              </w:rPr>
              <w:t xml:space="preserve"> </w:t>
            </w:r>
            <w:r w:rsidRPr="00545FB7">
              <w:rPr>
                <w:rFonts w:cs="Arial"/>
                <w:sz w:val="20"/>
                <w:szCs w:val="20"/>
              </w:rPr>
              <w:t xml:space="preserve"> SCFAs by 6 weeks, </w:t>
            </w:r>
          </w:p>
        </w:tc>
        <w:tc>
          <w:tcPr>
            <w:tcW w:w="3487" w:type="dxa"/>
          </w:tcPr>
          <w:p w:rsidR="00AE2D7F" w:rsidRPr="00545FB7" w:rsidRDefault="00AE2D7F" w:rsidP="00DD63C3">
            <w:pPr>
              <w:rPr>
                <w:rFonts w:cs="Arial"/>
                <w:sz w:val="20"/>
                <w:szCs w:val="20"/>
              </w:rPr>
            </w:pPr>
            <w:r w:rsidRPr="00545FB7">
              <w:rPr>
                <w:rFonts w:cs="Arial"/>
                <w:sz w:val="20"/>
                <w:szCs w:val="20"/>
              </w:rPr>
              <w:t xml:space="preserve">Cho </w:t>
            </w:r>
            <w:r w:rsidRPr="00545FB7">
              <w:rPr>
                <w:rFonts w:cs="Arial"/>
                <w:i/>
                <w:sz w:val="20"/>
                <w:szCs w:val="20"/>
              </w:rPr>
              <w:t>et al</w:t>
            </w:r>
            <w:r w:rsidRPr="00545FB7">
              <w:rPr>
                <w:rFonts w:cs="Arial"/>
                <w:sz w:val="20"/>
                <w:szCs w:val="20"/>
              </w:rPr>
              <w:t xml:space="preserve"> (2012)</w:t>
            </w:r>
          </w:p>
        </w:tc>
      </w:tr>
      <w:tr w:rsidR="00AE2D7F" w:rsidRPr="00545FB7" w:rsidTr="00DD63C3">
        <w:tc>
          <w:tcPr>
            <w:tcW w:w="3487" w:type="dxa"/>
          </w:tcPr>
          <w:p w:rsidR="00AE2D7F" w:rsidRPr="00545FB7" w:rsidRDefault="00AE2D7F" w:rsidP="00DD63C3">
            <w:pPr>
              <w:rPr>
                <w:rFonts w:cs="Arial"/>
                <w:sz w:val="20"/>
                <w:szCs w:val="20"/>
              </w:rPr>
            </w:pPr>
            <w:r>
              <w:rPr>
                <w:rFonts w:cs="Arial"/>
                <w:sz w:val="20"/>
                <w:szCs w:val="20"/>
              </w:rPr>
              <w:t>F</w:t>
            </w:r>
            <w:r w:rsidRPr="00545FB7">
              <w:rPr>
                <w:rFonts w:cs="Arial"/>
                <w:sz w:val="20"/>
                <w:szCs w:val="20"/>
              </w:rPr>
              <w:t>emale BALB/c mice</w:t>
            </w:r>
          </w:p>
        </w:tc>
        <w:tc>
          <w:tcPr>
            <w:tcW w:w="3487" w:type="dxa"/>
          </w:tcPr>
          <w:p w:rsidR="00AE2D7F" w:rsidRPr="00545FB7" w:rsidRDefault="00AE2D7F" w:rsidP="00DD63C3">
            <w:pPr>
              <w:rPr>
                <w:rFonts w:cs="Arial"/>
                <w:sz w:val="20"/>
                <w:szCs w:val="20"/>
              </w:rPr>
            </w:pPr>
            <w:r w:rsidRPr="00545FB7">
              <w:rPr>
                <w:rFonts w:cs="Arial"/>
                <w:sz w:val="20"/>
                <w:szCs w:val="20"/>
              </w:rPr>
              <w:t>Ciprofloxacin (cip) and metronidazole or vancomycin in drinking water for 3 weeks</w:t>
            </w:r>
          </w:p>
        </w:tc>
        <w:tc>
          <w:tcPr>
            <w:tcW w:w="3487" w:type="dxa"/>
          </w:tcPr>
          <w:p w:rsidR="00AE2D7F" w:rsidRPr="00545FB7" w:rsidRDefault="00AE2D7F" w:rsidP="00DD63C3">
            <w:pPr>
              <w:rPr>
                <w:rFonts w:cs="Arial"/>
                <w:sz w:val="20"/>
                <w:szCs w:val="20"/>
              </w:rPr>
            </w:pPr>
            <w:r w:rsidRPr="00545FB7">
              <w:rPr>
                <w:rFonts w:cs="Arial"/>
                <w:i/>
                <w:sz w:val="20"/>
                <w:szCs w:val="20"/>
              </w:rPr>
              <w:t xml:space="preserve">Bacteroidetes </w:t>
            </w:r>
            <w:r w:rsidRPr="00545FB7">
              <w:rPr>
                <w:rFonts w:cs="Arial"/>
                <w:sz w:val="20"/>
                <w:szCs w:val="20"/>
              </w:rPr>
              <w:t xml:space="preserve">and </w:t>
            </w:r>
            <w:r w:rsidRPr="00545FB7">
              <w:rPr>
                <w:rFonts w:cs="Arial"/>
                <w:i/>
                <w:sz w:val="20"/>
                <w:szCs w:val="20"/>
              </w:rPr>
              <w:t xml:space="preserve">Actinobacteria </w:t>
            </w:r>
            <w:r w:rsidRPr="00545FB7">
              <w:rPr>
                <w:rFonts w:cs="Arial"/>
                <w:sz w:val="20"/>
                <w:szCs w:val="20"/>
              </w:rPr>
              <w:t>depleted</w:t>
            </w:r>
            <w:r>
              <w:rPr>
                <w:rFonts w:cs="Arial"/>
                <w:sz w:val="20"/>
                <w:szCs w:val="20"/>
              </w:rPr>
              <w:t>,</w:t>
            </w:r>
            <w:r w:rsidRPr="00545FB7">
              <w:rPr>
                <w:rFonts w:cs="Arial"/>
                <w:i/>
                <w:sz w:val="20"/>
                <w:szCs w:val="20"/>
              </w:rPr>
              <w:t xml:space="preserve"> Proteobacteria </w:t>
            </w:r>
            <w:r w:rsidRPr="00545FB7">
              <w:rPr>
                <w:rFonts w:cs="Arial"/>
                <w:sz w:val="20"/>
                <w:szCs w:val="20"/>
              </w:rPr>
              <w:t xml:space="preserve">increased.  </w:t>
            </w:r>
            <w:r w:rsidRPr="00545FB7">
              <w:rPr>
                <w:rFonts w:cs="Arial"/>
                <w:i/>
                <w:sz w:val="20"/>
                <w:szCs w:val="20"/>
              </w:rPr>
              <w:t>F/B</w:t>
            </w:r>
            <w:r w:rsidRPr="00545FB7">
              <w:rPr>
                <w:rFonts w:cs="Arial"/>
                <w:sz w:val="20"/>
                <w:szCs w:val="20"/>
              </w:rPr>
              <w:t xml:space="preserve"> increased. </w:t>
            </w:r>
            <w:r w:rsidRPr="00545FB7">
              <w:rPr>
                <w:rFonts w:cs="Arial"/>
                <w:i/>
                <w:sz w:val="20"/>
                <w:szCs w:val="20"/>
              </w:rPr>
              <w:t xml:space="preserve">Streptococcaceae </w:t>
            </w:r>
            <w:r w:rsidRPr="00545FB7">
              <w:rPr>
                <w:rFonts w:cs="Arial"/>
                <w:sz w:val="20"/>
                <w:szCs w:val="20"/>
              </w:rPr>
              <w:t>increased with cip</w:t>
            </w:r>
            <w:r>
              <w:rPr>
                <w:rFonts w:cs="Arial"/>
                <w:sz w:val="20"/>
                <w:szCs w:val="20"/>
              </w:rPr>
              <w:t xml:space="preserve">, </w:t>
            </w:r>
            <w:r w:rsidRPr="00545FB7">
              <w:rPr>
                <w:rFonts w:cs="Arial"/>
                <w:i/>
                <w:sz w:val="20"/>
                <w:szCs w:val="20"/>
              </w:rPr>
              <w:t xml:space="preserve">Lactobacillaceae </w:t>
            </w:r>
            <w:r w:rsidRPr="00545FB7">
              <w:rPr>
                <w:rFonts w:cs="Arial"/>
                <w:sz w:val="20"/>
                <w:szCs w:val="20"/>
              </w:rPr>
              <w:t xml:space="preserve">and </w:t>
            </w:r>
            <w:r w:rsidRPr="00545FB7">
              <w:rPr>
                <w:rFonts w:cs="Arial"/>
                <w:i/>
                <w:sz w:val="20"/>
                <w:szCs w:val="20"/>
              </w:rPr>
              <w:t>Enterobacteraceae</w:t>
            </w:r>
            <w:r w:rsidRPr="00545FB7">
              <w:rPr>
                <w:rFonts w:cs="Arial"/>
                <w:sz w:val="20"/>
                <w:szCs w:val="20"/>
              </w:rPr>
              <w:t xml:space="preserve"> increased with vancomycin </w:t>
            </w:r>
          </w:p>
        </w:tc>
        <w:tc>
          <w:tcPr>
            <w:tcW w:w="3487" w:type="dxa"/>
          </w:tcPr>
          <w:p w:rsidR="00AE2D7F" w:rsidRPr="00545FB7" w:rsidRDefault="00AE2D7F" w:rsidP="00DD63C3">
            <w:pPr>
              <w:rPr>
                <w:rFonts w:cs="Arial"/>
                <w:sz w:val="20"/>
                <w:szCs w:val="20"/>
              </w:rPr>
            </w:pPr>
            <w:r w:rsidRPr="00545FB7">
              <w:rPr>
                <w:rFonts w:cs="Arial"/>
                <w:sz w:val="20"/>
                <w:szCs w:val="20"/>
              </w:rPr>
              <w:t xml:space="preserve">Nagano </w:t>
            </w:r>
            <w:r w:rsidRPr="00545FB7">
              <w:rPr>
                <w:rFonts w:cs="Arial"/>
                <w:i/>
                <w:sz w:val="20"/>
                <w:szCs w:val="20"/>
              </w:rPr>
              <w:t>et al</w:t>
            </w:r>
            <w:r w:rsidRPr="00545FB7">
              <w:rPr>
                <w:rFonts w:cs="Arial"/>
                <w:sz w:val="20"/>
                <w:szCs w:val="20"/>
              </w:rPr>
              <w:t xml:space="preserve"> (2019)</w:t>
            </w:r>
          </w:p>
        </w:tc>
      </w:tr>
    </w:tbl>
    <w:p w:rsidR="00AE2D7F" w:rsidRDefault="00AE2D7F" w:rsidP="00AE2D7F">
      <w:pPr>
        <w:rPr>
          <w:rFonts w:cs="Arial"/>
          <w:sz w:val="20"/>
          <w:szCs w:val="20"/>
        </w:rPr>
      </w:pPr>
      <w:r>
        <w:rPr>
          <w:rFonts w:cs="Arial"/>
          <w:sz w:val="20"/>
          <w:szCs w:val="20"/>
        </w:rPr>
        <w:tab/>
      </w:r>
    </w:p>
    <w:p w:rsidR="00AE2D7F" w:rsidRDefault="00AE2D7F" w:rsidP="00AE2D7F">
      <w:pPr>
        <w:rPr>
          <w:rFonts w:cs="Arial"/>
          <w:sz w:val="20"/>
          <w:szCs w:val="20"/>
        </w:rPr>
      </w:pPr>
    </w:p>
    <w:p w:rsidR="00AE2D7F" w:rsidRPr="000B3830" w:rsidRDefault="00AE2D7F" w:rsidP="008449DA">
      <w:pPr>
        <w:rPr>
          <w:rFonts w:cs="Arial"/>
          <w:szCs w:val="24"/>
        </w:rPr>
      </w:pPr>
      <w:r w:rsidRPr="000B3830">
        <w:rPr>
          <w:rFonts w:cs="Arial"/>
          <w:szCs w:val="24"/>
        </w:rPr>
        <w:t>Table 4 Reported experiments on the effects of various xenobiotics on the gut microbiota of mice and rats</w:t>
      </w:r>
    </w:p>
    <w:tbl>
      <w:tblPr>
        <w:tblStyle w:val="TableGrid"/>
        <w:tblW w:w="0" w:type="auto"/>
        <w:tblInd w:w="-5" w:type="dxa"/>
        <w:tblLook w:val="04A0" w:firstRow="1" w:lastRow="0" w:firstColumn="1" w:lastColumn="0" w:noHBand="0" w:noVBand="1"/>
      </w:tblPr>
      <w:tblGrid>
        <w:gridCol w:w="3568"/>
        <w:gridCol w:w="3215"/>
        <w:gridCol w:w="4274"/>
        <w:gridCol w:w="2896"/>
      </w:tblGrid>
      <w:tr w:rsidR="00AE2D7F" w:rsidRPr="00545FB7" w:rsidTr="008449DA">
        <w:tc>
          <w:tcPr>
            <w:tcW w:w="3568" w:type="dxa"/>
          </w:tcPr>
          <w:p w:rsidR="00AE2D7F" w:rsidRPr="00C025EA" w:rsidRDefault="00AE2D7F" w:rsidP="008449DA">
            <w:pPr>
              <w:pStyle w:val="ListParagraph"/>
              <w:ind w:left="-688"/>
              <w:rPr>
                <w:rFonts w:cs="Arial"/>
                <w:sz w:val="20"/>
                <w:szCs w:val="20"/>
              </w:rPr>
            </w:pPr>
            <w:r w:rsidRPr="00C025EA">
              <w:rPr>
                <w:rFonts w:cs="Arial"/>
                <w:sz w:val="20"/>
                <w:szCs w:val="20"/>
              </w:rPr>
              <w:t>Animal</w:t>
            </w:r>
            <w:r w:rsidR="008449DA">
              <w:rPr>
                <w:rFonts w:cs="Arial"/>
                <w:sz w:val="20"/>
                <w:szCs w:val="20"/>
              </w:rPr>
              <w:t xml:space="preserve"> Animal</w:t>
            </w:r>
          </w:p>
        </w:tc>
        <w:tc>
          <w:tcPr>
            <w:tcW w:w="3215" w:type="dxa"/>
          </w:tcPr>
          <w:p w:rsidR="00AE2D7F" w:rsidRPr="00C025EA" w:rsidRDefault="00AE2D7F" w:rsidP="00DD63C3">
            <w:pPr>
              <w:pStyle w:val="ListParagraph"/>
              <w:ind w:left="0"/>
              <w:rPr>
                <w:rFonts w:cs="Arial"/>
                <w:sz w:val="20"/>
                <w:szCs w:val="20"/>
              </w:rPr>
            </w:pPr>
            <w:r w:rsidRPr="00C025EA">
              <w:rPr>
                <w:rFonts w:cs="Arial"/>
                <w:sz w:val="20"/>
                <w:szCs w:val="20"/>
              </w:rPr>
              <w:t>Xenobiotic</w:t>
            </w:r>
          </w:p>
        </w:tc>
        <w:tc>
          <w:tcPr>
            <w:tcW w:w="4274" w:type="dxa"/>
          </w:tcPr>
          <w:p w:rsidR="00AE2D7F" w:rsidRPr="00C025EA" w:rsidRDefault="00AE2D7F" w:rsidP="00DD63C3">
            <w:pPr>
              <w:pStyle w:val="ListParagraph"/>
              <w:ind w:left="0"/>
              <w:rPr>
                <w:rFonts w:cs="Arial"/>
                <w:sz w:val="20"/>
                <w:szCs w:val="20"/>
              </w:rPr>
            </w:pPr>
            <w:r w:rsidRPr="00C025EA">
              <w:rPr>
                <w:rFonts w:cs="Arial"/>
                <w:sz w:val="20"/>
                <w:szCs w:val="20"/>
              </w:rPr>
              <w:t>Effect</w:t>
            </w:r>
          </w:p>
        </w:tc>
        <w:tc>
          <w:tcPr>
            <w:tcW w:w="2896" w:type="dxa"/>
          </w:tcPr>
          <w:p w:rsidR="00AE2D7F" w:rsidRPr="00C025EA" w:rsidRDefault="00AE2D7F" w:rsidP="00DD63C3">
            <w:pPr>
              <w:pStyle w:val="ListParagraph"/>
              <w:ind w:left="0"/>
              <w:rPr>
                <w:rFonts w:cs="Arial"/>
                <w:sz w:val="20"/>
                <w:szCs w:val="20"/>
              </w:rPr>
            </w:pPr>
            <w:r w:rsidRPr="00C025EA">
              <w:rPr>
                <w:rFonts w:cs="Arial"/>
                <w:sz w:val="20"/>
                <w:szCs w:val="20"/>
              </w:rPr>
              <w:t>Reference</w:t>
            </w:r>
          </w:p>
        </w:tc>
      </w:tr>
      <w:tr w:rsidR="00AE2D7F" w:rsidRPr="00545FB7" w:rsidTr="008449DA">
        <w:tc>
          <w:tcPr>
            <w:tcW w:w="3568" w:type="dxa"/>
          </w:tcPr>
          <w:p w:rsidR="00AE2D7F" w:rsidRPr="00545FB7" w:rsidRDefault="00AE2D7F" w:rsidP="00DD63C3">
            <w:pPr>
              <w:pStyle w:val="ListParagraph"/>
              <w:ind w:left="0"/>
              <w:rPr>
                <w:rFonts w:cs="Arial"/>
                <w:i/>
                <w:sz w:val="20"/>
                <w:szCs w:val="20"/>
              </w:rPr>
            </w:pPr>
            <w:r w:rsidRPr="00545FB7">
              <w:rPr>
                <w:rFonts w:cs="Arial"/>
                <w:sz w:val="20"/>
                <w:szCs w:val="20"/>
              </w:rPr>
              <w:t>C57BL/6 mice</w:t>
            </w:r>
          </w:p>
        </w:tc>
        <w:tc>
          <w:tcPr>
            <w:tcW w:w="3215" w:type="dxa"/>
          </w:tcPr>
          <w:p w:rsidR="00AE2D7F" w:rsidRPr="00545FB7" w:rsidRDefault="00AE2D7F" w:rsidP="00DD63C3">
            <w:pPr>
              <w:pStyle w:val="ListParagraph"/>
              <w:ind w:left="0"/>
              <w:rPr>
                <w:rFonts w:cs="Arial"/>
                <w:sz w:val="20"/>
                <w:szCs w:val="20"/>
              </w:rPr>
            </w:pPr>
            <w:r>
              <w:rPr>
                <w:rFonts w:cs="Arial"/>
                <w:sz w:val="20"/>
                <w:szCs w:val="20"/>
              </w:rPr>
              <w:t>M</w:t>
            </w:r>
            <w:r w:rsidRPr="00545FB7">
              <w:rPr>
                <w:rFonts w:cs="Arial"/>
                <w:sz w:val="20"/>
                <w:szCs w:val="20"/>
              </w:rPr>
              <w:t>orphine, slow release pellets</w:t>
            </w:r>
          </w:p>
          <w:p w:rsidR="00AE2D7F" w:rsidRPr="00755293" w:rsidRDefault="00EA24ED" w:rsidP="00DD63C3">
            <w:pPr>
              <w:pStyle w:val="ListParagraph"/>
              <w:ind w:left="0"/>
              <w:rPr>
                <w:rFonts w:cs="Arial"/>
                <w:iCs/>
                <w:sz w:val="20"/>
                <w:szCs w:val="20"/>
              </w:rPr>
            </w:pPr>
            <w:r w:rsidRPr="007702DD">
              <w:rPr>
                <w:rFonts w:cs="Arial"/>
                <w:iCs/>
                <w:sz w:val="20"/>
                <w:szCs w:val="20"/>
              </w:rPr>
              <w:t>(serum concentration ~</w:t>
            </w:r>
            <w:r>
              <w:rPr>
                <w:rFonts w:cs="Arial"/>
                <w:iCs/>
                <w:sz w:val="20"/>
                <w:szCs w:val="20"/>
              </w:rPr>
              <w:t xml:space="preserve"> 1</w:t>
            </w:r>
            <w:r w:rsidRPr="007702DD">
              <w:rPr>
                <w:rFonts w:ascii="Symbol" w:hAnsi="Symbol" w:cs="Arial"/>
                <w:iCs/>
                <w:sz w:val="20"/>
                <w:szCs w:val="20"/>
              </w:rPr>
              <w:t></w:t>
            </w:r>
            <w:r>
              <w:rPr>
                <w:rFonts w:cs="Arial"/>
                <w:iCs/>
                <w:sz w:val="20"/>
                <w:szCs w:val="20"/>
              </w:rPr>
              <w:t>M)</w:t>
            </w:r>
          </w:p>
        </w:tc>
        <w:tc>
          <w:tcPr>
            <w:tcW w:w="4274"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Reduced </w:t>
            </w:r>
            <w:r w:rsidRPr="00545FB7">
              <w:rPr>
                <w:rFonts w:cs="Arial"/>
                <w:i/>
                <w:sz w:val="20"/>
                <w:szCs w:val="20"/>
              </w:rPr>
              <w:t>Bacteroidetes.</w:t>
            </w:r>
            <w:r w:rsidRPr="00545FB7">
              <w:rPr>
                <w:rFonts w:cs="Arial"/>
                <w:sz w:val="20"/>
                <w:szCs w:val="20"/>
              </w:rPr>
              <w:t xml:space="preserve"> </w:t>
            </w:r>
            <w:r>
              <w:rPr>
                <w:rFonts w:cs="Arial"/>
                <w:sz w:val="20"/>
                <w:szCs w:val="20"/>
              </w:rPr>
              <w:t>In</w:t>
            </w:r>
            <w:r w:rsidRPr="00545FB7">
              <w:rPr>
                <w:rFonts w:cs="Arial"/>
                <w:sz w:val="20"/>
                <w:szCs w:val="20"/>
              </w:rPr>
              <w:t xml:space="preserve"> the </w:t>
            </w:r>
            <w:r w:rsidRPr="00545FB7">
              <w:rPr>
                <w:rFonts w:cs="Arial"/>
                <w:i/>
                <w:sz w:val="20"/>
                <w:szCs w:val="20"/>
              </w:rPr>
              <w:t>Firmicutes</w:t>
            </w:r>
            <w:r w:rsidRPr="00545FB7">
              <w:rPr>
                <w:rFonts w:cs="Arial"/>
                <w:sz w:val="20"/>
                <w:szCs w:val="20"/>
              </w:rPr>
              <w:t xml:space="preserve">, </w:t>
            </w:r>
            <w:r w:rsidRPr="00545FB7">
              <w:rPr>
                <w:rFonts w:cs="Arial"/>
                <w:i/>
                <w:sz w:val="20"/>
                <w:szCs w:val="20"/>
              </w:rPr>
              <w:t>Enterococcaceae, Staphyllococcaceae, Bacillaceae, Streptococcaceae</w:t>
            </w:r>
            <w:r w:rsidRPr="00545FB7">
              <w:rPr>
                <w:rFonts w:cs="Arial"/>
                <w:sz w:val="20"/>
                <w:szCs w:val="20"/>
              </w:rPr>
              <w:t xml:space="preserve"> and </w:t>
            </w:r>
            <w:r w:rsidRPr="00545FB7">
              <w:rPr>
                <w:rFonts w:cs="Arial"/>
                <w:i/>
                <w:sz w:val="20"/>
                <w:szCs w:val="20"/>
              </w:rPr>
              <w:t>Erysipelotrichaceae</w:t>
            </w:r>
            <w:r w:rsidRPr="00545FB7">
              <w:rPr>
                <w:rFonts w:cs="Arial"/>
                <w:sz w:val="20"/>
                <w:szCs w:val="20"/>
              </w:rPr>
              <w:t xml:space="preserve"> </w:t>
            </w:r>
            <w:r>
              <w:rPr>
                <w:rFonts w:cs="Arial"/>
                <w:sz w:val="20"/>
                <w:szCs w:val="20"/>
              </w:rPr>
              <w:t>i</w:t>
            </w:r>
            <w:r w:rsidRPr="00545FB7">
              <w:rPr>
                <w:rFonts w:cs="Arial"/>
                <w:sz w:val="20"/>
                <w:szCs w:val="20"/>
              </w:rPr>
              <w:t xml:space="preserve">ncreased. Gut barrier negatively affected and bacteria (mainly Gram positive) translocated through the epithelium </w:t>
            </w:r>
          </w:p>
        </w:tc>
        <w:tc>
          <w:tcPr>
            <w:tcW w:w="2896" w:type="dxa"/>
          </w:tcPr>
          <w:p w:rsidR="00AE2D7F" w:rsidRPr="00545FB7" w:rsidRDefault="00AE2D7F" w:rsidP="00DD63C3">
            <w:pPr>
              <w:pStyle w:val="ListParagraph"/>
              <w:ind w:left="0"/>
              <w:rPr>
                <w:rFonts w:cs="Arial"/>
                <w:i/>
                <w:sz w:val="20"/>
                <w:szCs w:val="20"/>
              </w:rPr>
            </w:pPr>
            <w:r w:rsidRPr="00545FB7">
              <w:rPr>
                <w:rFonts w:cs="Arial"/>
                <w:sz w:val="20"/>
                <w:szCs w:val="20"/>
              </w:rPr>
              <w:t>Ban</w:t>
            </w:r>
            <w:r w:rsidR="00EA24ED">
              <w:rPr>
                <w:rFonts w:cs="Arial"/>
                <w:sz w:val="20"/>
                <w:szCs w:val="20"/>
              </w:rPr>
              <w:t>e</w:t>
            </w:r>
            <w:r w:rsidRPr="00545FB7">
              <w:rPr>
                <w:rFonts w:cs="Arial"/>
                <w:sz w:val="20"/>
                <w:szCs w:val="20"/>
              </w:rPr>
              <w:t xml:space="preserve">rjee </w:t>
            </w:r>
            <w:r w:rsidRPr="00545FB7">
              <w:rPr>
                <w:rFonts w:cs="Arial"/>
                <w:i/>
                <w:sz w:val="20"/>
                <w:szCs w:val="20"/>
              </w:rPr>
              <w:t>et al</w:t>
            </w:r>
            <w:r w:rsidRPr="00545FB7">
              <w:rPr>
                <w:rFonts w:cs="Arial"/>
                <w:sz w:val="20"/>
                <w:szCs w:val="20"/>
              </w:rPr>
              <w:t xml:space="preserve"> (2016)</w:t>
            </w:r>
          </w:p>
        </w:tc>
      </w:tr>
      <w:tr w:rsidR="006E0E50" w:rsidRPr="00545FB7" w:rsidTr="008449DA">
        <w:tc>
          <w:tcPr>
            <w:tcW w:w="3568" w:type="dxa"/>
          </w:tcPr>
          <w:p w:rsidR="006E0E50" w:rsidRDefault="006E0E50" w:rsidP="00DD63C3">
            <w:pPr>
              <w:pStyle w:val="ListParagraph"/>
              <w:ind w:left="0"/>
              <w:rPr>
                <w:rFonts w:cs="Arial"/>
                <w:sz w:val="20"/>
                <w:szCs w:val="20"/>
              </w:rPr>
            </w:pPr>
            <w:r w:rsidRPr="006E0E50">
              <w:rPr>
                <w:rFonts w:cs="Arial"/>
                <w:sz w:val="20"/>
                <w:szCs w:val="20"/>
              </w:rPr>
              <w:t xml:space="preserve">C57BL6 </w:t>
            </w:r>
            <w:r w:rsidR="00177BF5">
              <w:rPr>
                <w:rFonts w:cs="Arial"/>
                <w:sz w:val="20"/>
                <w:szCs w:val="20"/>
              </w:rPr>
              <w:t>, TLR</w:t>
            </w:r>
            <w:r w:rsidR="00F17CC9">
              <w:rPr>
                <w:rFonts w:cs="Arial"/>
                <w:sz w:val="20"/>
                <w:szCs w:val="20"/>
              </w:rPr>
              <w:t>5</w:t>
            </w:r>
            <w:r w:rsidR="00177BF5">
              <w:rPr>
                <w:rFonts w:cs="Arial"/>
                <w:sz w:val="20"/>
                <w:szCs w:val="20"/>
                <w:vertAlign w:val="superscript"/>
              </w:rPr>
              <w:t>-/-</w:t>
            </w:r>
            <w:r>
              <w:rPr>
                <w:rFonts w:cs="Arial"/>
                <w:sz w:val="20"/>
                <w:szCs w:val="20"/>
              </w:rPr>
              <w:t xml:space="preserve"> </w:t>
            </w:r>
            <w:r w:rsidR="00177BF5">
              <w:rPr>
                <w:rFonts w:cs="Arial"/>
                <w:sz w:val="20"/>
                <w:szCs w:val="20"/>
              </w:rPr>
              <w:t>and</w:t>
            </w:r>
            <w:r>
              <w:rPr>
                <w:rFonts w:cs="Arial"/>
                <w:sz w:val="20"/>
                <w:szCs w:val="20"/>
              </w:rPr>
              <w:t xml:space="preserve"> IL10</w:t>
            </w:r>
            <w:r>
              <w:rPr>
                <w:rFonts w:cs="Arial"/>
                <w:sz w:val="20"/>
                <w:szCs w:val="20"/>
                <w:vertAlign w:val="superscript"/>
              </w:rPr>
              <w:t xml:space="preserve">-/- </w:t>
            </w:r>
            <w:r>
              <w:rPr>
                <w:rFonts w:cs="Arial"/>
                <w:sz w:val="20"/>
                <w:szCs w:val="20"/>
              </w:rPr>
              <w:t xml:space="preserve"> </w:t>
            </w:r>
            <w:r w:rsidRPr="006E0E50">
              <w:rPr>
                <w:rFonts w:cs="Arial"/>
                <w:sz w:val="20"/>
                <w:szCs w:val="20"/>
              </w:rPr>
              <w:t>mice</w:t>
            </w:r>
          </w:p>
        </w:tc>
        <w:tc>
          <w:tcPr>
            <w:tcW w:w="3215" w:type="dxa"/>
          </w:tcPr>
          <w:p w:rsidR="006E0E50" w:rsidRDefault="006E0E50" w:rsidP="00DD63C3">
            <w:pPr>
              <w:pStyle w:val="ListParagraph"/>
              <w:ind w:left="0"/>
              <w:rPr>
                <w:rFonts w:cs="Arial"/>
                <w:sz w:val="20"/>
                <w:szCs w:val="20"/>
              </w:rPr>
            </w:pPr>
            <w:r w:rsidRPr="006E0E50">
              <w:rPr>
                <w:rFonts w:cs="Arial"/>
                <w:sz w:val="20"/>
                <w:szCs w:val="20"/>
              </w:rPr>
              <w:t>Carboxymethylcellulose (CMC) or polysorbate-80 (P80)  (at 1</w:t>
            </w:r>
            <w:r>
              <w:rPr>
                <w:rFonts w:cs="Arial"/>
                <w:sz w:val="20"/>
                <w:szCs w:val="20"/>
              </w:rPr>
              <w:t xml:space="preserve">% </w:t>
            </w:r>
            <w:r w:rsidRPr="006E0E50">
              <w:rPr>
                <w:rFonts w:cs="Arial"/>
                <w:sz w:val="20"/>
                <w:szCs w:val="20"/>
              </w:rPr>
              <w:t>w/v or v/v in drinking water for 13</w:t>
            </w:r>
            <w:r>
              <w:rPr>
                <w:rFonts w:cs="Arial"/>
                <w:sz w:val="20"/>
                <w:szCs w:val="20"/>
              </w:rPr>
              <w:t>2</w:t>
            </w:r>
            <w:r w:rsidRPr="006E0E50">
              <w:rPr>
                <w:rFonts w:cs="Arial"/>
                <w:sz w:val="20"/>
                <w:szCs w:val="20"/>
              </w:rPr>
              <w:t>weeks)</w:t>
            </w:r>
          </w:p>
        </w:tc>
        <w:tc>
          <w:tcPr>
            <w:tcW w:w="4274" w:type="dxa"/>
          </w:tcPr>
          <w:p w:rsidR="006E0E50" w:rsidRPr="007702DD" w:rsidRDefault="006C75B6" w:rsidP="00DD63C3">
            <w:pPr>
              <w:pStyle w:val="ListParagraph"/>
              <w:ind w:left="0"/>
              <w:rPr>
                <w:rFonts w:cs="Arial"/>
                <w:iCs/>
                <w:sz w:val="20"/>
                <w:szCs w:val="20"/>
              </w:rPr>
            </w:pPr>
            <w:r>
              <w:rPr>
                <w:rFonts w:cs="Arial"/>
                <w:iCs/>
                <w:sz w:val="20"/>
                <w:szCs w:val="20"/>
              </w:rPr>
              <w:t>Mucus layer degradation and contact of bacteria with the gut epithelium</w:t>
            </w:r>
            <w:r w:rsidR="000106B0">
              <w:rPr>
                <w:rFonts w:cs="Arial"/>
                <w:iCs/>
                <w:sz w:val="20"/>
                <w:szCs w:val="20"/>
              </w:rPr>
              <w:t xml:space="preserve">. Reduced </w:t>
            </w:r>
            <w:r w:rsidR="000106B0">
              <w:rPr>
                <w:rFonts w:cs="Arial"/>
                <w:i/>
                <w:sz w:val="20"/>
                <w:szCs w:val="20"/>
              </w:rPr>
              <w:t xml:space="preserve">Bacteroidetes, </w:t>
            </w:r>
            <w:r w:rsidR="000106B0">
              <w:rPr>
                <w:rFonts w:cs="Arial"/>
                <w:iCs/>
                <w:sz w:val="20"/>
                <w:szCs w:val="20"/>
              </w:rPr>
              <w:t xml:space="preserve">increased </w:t>
            </w:r>
            <w:r w:rsidR="000106B0">
              <w:rPr>
                <w:rFonts w:cs="Arial"/>
                <w:i/>
                <w:sz w:val="20"/>
                <w:szCs w:val="20"/>
              </w:rPr>
              <w:t xml:space="preserve">verrucomicrobia </w:t>
            </w:r>
            <w:r w:rsidR="000106B0">
              <w:rPr>
                <w:rFonts w:cs="Arial"/>
                <w:iCs/>
                <w:sz w:val="20"/>
                <w:szCs w:val="20"/>
              </w:rPr>
              <w:t xml:space="preserve">and </w:t>
            </w:r>
            <w:r w:rsidR="000106B0">
              <w:rPr>
                <w:rFonts w:cs="Arial"/>
                <w:i/>
                <w:sz w:val="20"/>
                <w:szCs w:val="20"/>
              </w:rPr>
              <w:t>Proteobacteria</w:t>
            </w:r>
            <w:r w:rsidR="00DC63BA">
              <w:rPr>
                <w:rFonts w:cs="Arial"/>
                <w:i/>
                <w:sz w:val="20"/>
                <w:szCs w:val="20"/>
              </w:rPr>
              <w:t>.</w:t>
            </w:r>
            <w:r w:rsidR="006C548C">
              <w:t xml:space="preserve"> </w:t>
            </w:r>
            <w:r w:rsidR="00DC63BA">
              <w:t>L</w:t>
            </w:r>
            <w:r w:rsidR="006C548C" w:rsidRPr="007702DD">
              <w:rPr>
                <w:sz w:val="20"/>
                <w:szCs w:val="20"/>
              </w:rPr>
              <w:t>ow-grade inflammation and metabolic disease in WT mice and increased incidence/severity of overt colitis in interleukin-10 (IL-10)−/− mice,</w:t>
            </w:r>
          </w:p>
        </w:tc>
        <w:tc>
          <w:tcPr>
            <w:tcW w:w="2896" w:type="dxa"/>
          </w:tcPr>
          <w:p w:rsidR="006E0E50" w:rsidRPr="006E0E50" w:rsidRDefault="006E0E50" w:rsidP="00DD63C3">
            <w:pPr>
              <w:pStyle w:val="ListParagraph"/>
              <w:ind w:left="0"/>
              <w:rPr>
                <w:rFonts w:cs="Arial"/>
                <w:sz w:val="20"/>
                <w:szCs w:val="20"/>
              </w:rPr>
            </w:pPr>
            <w:r w:rsidRPr="007702DD">
              <w:rPr>
                <w:rFonts w:eastAsia="Times New Roman" w:cs="Arial"/>
                <w:color w:val="212121"/>
                <w:sz w:val="20"/>
                <w:szCs w:val="20"/>
              </w:rPr>
              <w:t>Chassaing</w:t>
            </w:r>
            <w:r>
              <w:rPr>
                <w:rFonts w:eastAsia="Times New Roman" w:cs="Arial"/>
                <w:color w:val="212121"/>
                <w:sz w:val="20"/>
                <w:szCs w:val="20"/>
              </w:rPr>
              <w:t xml:space="preserve"> </w:t>
            </w:r>
            <w:r>
              <w:rPr>
                <w:rFonts w:eastAsia="Times New Roman" w:cs="Arial"/>
                <w:i/>
                <w:iCs/>
                <w:color w:val="212121"/>
                <w:sz w:val="20"/>
                <w:szCs w:val="20"/>
              </w:rPr>
              <w:t>et al</w:t>
            </w:r>
            <w:r>
              <w:rPr>
                <w:rFonts w:eastAsia="Times New Roman" w:cs="Arial"/>
                <w:color w:val="212121"/>
                <w:sz w:val="20"/>
                <w:szCs w:val="20"/>
              </w:rPr>
              <w:t xml:space="preserve"> (201</w:t>
            </w:r>
            <w:r w:rsidR="00E56862">
              <w:rPr>
                <w:rFonts w:eastAsia="Times New Roman" w:cs="Arial"/>
                <w:color w:val="212121"/>
                <w:sz w:val="20"/>
                <w:szCs w:val="20"/>
              </w:rPr>
              <w:t>5, 2016</w:t>
            </w:r>
            <w:r>
              <w:rPr>
                <w:rFonts w:eastAsia="Times New Roman" w:cs="Arial"/>
                <w:color w:val="212121"/>
                <w:sz w:val="20"/>
                <w:szCs w:val="20"/>
              </w:rPr>
              <w:t>)</w:t>
            </w:r>
          </w:p>
        </w:tc>
      </w:tr>
      <w:tr w:rsidR="00AE2D7F" w:rsidRPr="00545FB7" w:rsidTr="008449DA">
        <w:tc>
          <w:tcPr>
            <w:tcW w:w="3568" w:type="dxa"/>
          </w:tcPr>
          <w:p w:rsidR="00AE2D7F" w:rsidRPr="00545FB7" w:rsidRDefault="00AE2D7F" w:rsidP="00DD63C3">
            <w:pPr>
              <w:pStyle w:val="ListParagraph"/>
              <w:ind w:left="0"/>
              <w:rPr>
                <w:rFonts w:cs="Arial"/>
                <w:i/>
                <w:sz w:val="20"/>
                <w:szCs w:val="20"/>
              </w:rPr>
            </w:pPr>
            <w:r>
              <w:rPr>
                <w:rFonts w:cs="Arial"/>
                <w:sz w:val="20"/>
                <w:szCs w:val="20"/>
              </w:rPr>
              <w:t>M</w:t>
            </w:r>
            <w:r w:rsidRPr="00545FB7">
              <w:rPr>
                <w:rFonts w:cs="Arial"/>
                <w:sz w:val="20"/>
                <w:szCs w:val="20"/>
              </w:rPr>
              <w:t>ale C57BL6 mice</w:t>
            </w:r>
          </w:p>
        </w:tc>
        <w:tc>
          <w:tcPr>
            <w:tcW w:w="3215" w:type="dxa"/>
          </w:tcPr>
          <w:p w:rsidR="00AE2D7F" w:rsidRPr="00545FB7" w:rsidRDefault="00AE2D7F" w:rsidP="00DD63C3">
            <w:pPr>
              <w:pStyle w:val="ListParagraph"/>
              <w:ind w:left="0"/>
              <w:rPr>
                <w:rFonts w:cs="Arial"/>
                <w:i/>
                <w:sz w:val="20"/>
                <w:szCs w:val="20"/>
              </w:rPr>
            </w:pPr>
            <w:r>
              <w:rPr>
                <w:rFonts w:cs="Arial"/>
                <w:sz w:val="20"/>
                <w:szCs w:val="20"/>
              </w:rPr>
              <w:t>C</w:t>
            </w:r>
            <w:r w:rsidRPr="00545FB7">
              <w:rPr>
                <w:rFonts w:cs="Arial"/>
                <w:sz w:val="20"/>
                <w:szCs w:val="20"/>
              </w:rPr>
              <w:t xml:space="preserve">arboxymethylcellulose (CMC) or polysorbate-80 (P80)  </w:t>
            </w:r>
            <w:r w:rsidR="006B70E7">
              <w:rPr>
                <w:rFonts w:cs="Arial"/>
                <w:sz w:val="20"/>
                <w:szCs w:val="20"/>
              </w:rPr>
              <w:t xml:space="preserve">(at 15 w/v </w:t>
            </w:r>
            <w:r w:rsidR="006E0E50">
              <w:rPr>
                <w:rFonts w:cs="Arial"/>
                <w:sz w:val="20"/>
                <w:szCs w:val="20"/>
              </w:rPr>
              <w:t xml:space="preserve">or v/v </w:t>
            </w:r>
            <w:r w:rsidR="006B70E7">
              <w:rPr>
                <w:rFonts w:cs="Arial"/>
                <w:sz w:val="20"/>
                <w:szCs w:val="20"/>
              </w:rPr>
              <w:t>in drinking water for 13 weeks)</w:t>
            </w:r>
          </w:p>
        </w:tc>
        <w:tc>
          <w:tcPr>
            <w:tcW w:w="4274" w:type="dxa"/>
          </w:tcPr>
          <w:p w:rsidR="00AE2D7F" w:rsidRPr="00545FB7" w:rsidRDefault="00AE2D7F" w:rsidP="00DD63C3">
            <w:pPr>
              <w:pStyle w:val="ListParagraph"/>
              <w:ind w:left="0"/>
              <w:rPr>
                <w:rFonts w:cs="Arial"/>
                <w:i/>
                <w:sz w:val="20"/>
                <w:szCs w:val="20"/>
              </w:rPr>
            </w:pPr>
            <w:r w:rsidRPr="00545FB7">
              <w:rPr>
                <w:rFonts w:cs="Arial"/>
                <w:i/>
                <w:sz w:val="20"/>
                <w:szCs w:val="20"/>
              </w:rPr>
              <w:t>Firmicutes</w:t>
            </w:r>
            <w:r w:rsidRPr="00545FB7">
              <w:rPr>
                <w:rFonts w:cs="Arial"/>
                <w:sz w:val="20"/>
                <w:szCs w:val="20"/>
              </w:rPr>
              <w:t xml:space="preserve"> </w:t>
            </w:r>
            <w:r>
              <w:rPr>
                <w:rFonts w:cs="Arial"/>
                <w:sz w:val="20"/>
                <w:szCs w:val="20"/>
              </w:rPr>
              <w:t xml:space="preserve">decreased, </w:t>
            </w:r>
            <w:r w:rsidRPr="00545FB7">
              <w:rPr>
                <w:rFonts w:cs="Arial"/>
                <w:i/>
                <w:sz w:val="20"/>
                <w:szCs w:val="20"/>
              </w:rPr>
              <w:t>Bacteroidetes</w:t>
            </w:r>
            <w:r>
              <w:rPr>
                <w:rFonts w:cs="Arial"/>
                <w:i/>
                <w:sz w:val="20"/>
                <w:szCs w:val="20"/>
              </w:rPr>
              <w:t xml:space="preserve"> </w:t>
            </w:r>
            <w:r w:rsidRPr="001B66CE">
              <w:rPr>
                <w:rFonts w:cs="Arial"/>
                <w:sz w:val="20"/>
                <w:szCs w:val="20"/>
              </w:rPr>
              <w:t>increased</w:t>
            </w:r>
            <w:r>
              <w:rPr>
                <w:rFonts w:cs="Arial"/>
                <w:sz w:val="20"/>
                <w:szCs w:val="20"/>
              </w:rPr>
              <w:t>, making conditions more</w:t>
            </w:r>
            <w:r w:rsidRPr="00545FB7">
              <w:rPr>
                <w:rFonts w:cs="Arial"/>
                <w:sz w:val="20"/>
                <w:szCs w:val="20"/>
              </w:rPr>
              <w:t xml:space="preserve"> pro-inflammatory</w:t>
            </w:r>
            <w:r>
              <w:rPr>
                <w:rFonts w:cs="Arial"/>
                <w:sz w:val="20"/>
                <w:szCs w:val="20"/>
              </w:rPr>
              <w:t>.</w:t>
            </w:r>
          </w:p>
        </w:tc>
        <w:tc>
          <w:tcPr>
            <w:tcW w:w="2896"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Viennois </w:t>
            </w:r>
            <w:r w:rsidRPr="00545FB7">
              <w:rPr>
                <w:rFonts w:cs="Arial"/>
                <w:i/>
                <w:sz w:val="20"/>
                <w:szCs w:val="20"/>
              </w:rPr>
              <w:t>et al</w:t>
            </w:r>
            <w:r w:rsidRPr="00545FB7">
              <w:rPr>
                <w:rFonts w:cs="Arial"/>
                <w:sz w:val="20"/>
                <w:szCs w:val="20"/>
              </w:rPr>
              <w:t xml:space="preserve"> (2017)</w:t>
            </w:r>
          </w:p>
        </w:tc>
      </w:tr>
      <w:tr w:rsidR="00AE2D7F" w:rsidRPr="00545FB7" w:rsidTr="008449DA">
        <w:tc>
          <w:tcPr>
            <w:tcW w:w="3568" w:type="dxa"/>
          </w:tcPr>
          <w:p w:rsidR="00AE2D7F" w:rsidRPr="00545FB7" w:rsidRDefault="00AE2D7F" w:rsidP="00DD63C3">
            <w:pPr>
              <w:pStyle w:val="ListParagraph"/>
              <w:ind w:left="0"/>
              <w:rPr>
                <w:rFonts w:cs="Arial"/>
                <w:i/>
                <w:sz w:val="20"/>
                <w:szCs w:val="20"/>
              </w:rPr>
            </w:pPr>
            <w:r>
              <w:rPr>
                <w:rFonts w:cs="Arial"/>
                <w:sz w:val="20"/>
                <w:szCs w:val="20"/>
              </w:rPr>
              <w:t>F</w:t>
            </w:r>
            <w:r w:rsidRPr="00545FB7">
              <w:rPr>
                <w:rFonts w:cs="Arial"/>
                <w:sz w:val="20"/>
                <w:szCs w:val="20"/>
              </w:rPr>
              <w:t>emale C57BL/6 N mice</w:t>
            </w:r>
          </w:p>
        </w:tc>
        <w:tc>
          <w:tcPr>
            <w:tcW w:w="3215" w:type="dxa"/>
          </w:tcPr>
          <w:p w:rsidR="00AE2D7F" w:rsidRPr="00545FB7" w:rsidRDefault="00AE2D7F" w:rsidP="00DD63C3">
            <w:pPr>
              <w:pStyle w:val="ListParagraph"/>
              <w:ind w:left="0"/>
              <w:rPr>
                <w:rFonts w:cs="Arial"/>
                <w:i/>
                <w:sz w:val="20"/>
                <w:szCs w:val="20"/>
              </w:rPr>
            </w:pPr>
            <w:r>
              <w:rPr>
                <w:rFonts w:cs="Arial"/>
                <w:sz w:val="20"/>
                <w:szCs w:val="20"/>
              </w:rPr>
              <w:t>S</w:t>
            </w:r>
            <w:r w:rsidRPr="00545FB7">
              <w:rPr>
                <w:rFonts w:cs="Arial"/>
                <w:sz w:val="20"/>
                <w:szCs w:val="20"/>
              </w:rPr>
              <w:t>oy or coconut oil</w:t>
            </w:r>
            <w:r w:rsidR="006B70E7">
              <w:rPr>
                <w:rFonts w:cs="Arial"/>
                <w:sz w:val="20"/>
                <w:szCs w:val="20"/>
              </w:rPr>
              <w:t xml:space="preserve"> (25%w/w oil in diet)</w:t>
            </w:r>
          </w:p>
        </w:tc>
        <w:tc>
          <w:tcPr>
            <w:tcW w:w="4274"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Coconut-oil-fed mice had higher blood cholesterol level after 8 weeks. and a greater relative abundance of </w:t>
            </w:r>
            <w:r w:rsidRPr="00545FB7">
              <w:rPr>
                <w:rFonts w:cs="Arial"/>
                <w:i/>
                <w:sz w:val="20"/>
                <w:szCs w:val="20"/>
              </w:rPr>
              <w:t xml:space="preserve">Allobaculum </w:t>
            </w:r>
            <w:r w:rsidRPr="00545FB7">
              <w:rPr>
                <w:rFonts w:cs="Arial"/>
                <w:sz w:val="20"/>
                <w:szCs w:val="20"/>
              </w:rPr>
              <w:t xml:space="preserve">and </w:t>
            </w:r>
            <w:r w:rsidRPr="00545FB7">
              <w:rPr>
                <w:rFonts w:cs="Arial"/>
                <w:i/>
                <w:sz w:val="20"/>
                <w:szCs w:val="20"/>
              </w:rPr>
              <w:t>Anaerofustis</w:t>
            </w:r>
            <w:r w:rsidRPr="00545FB7">
              <w:rPr>
                <w:rFonts w:cs="Arial"/>
                <w:sz w:val="20"/>
                <w:szCs w:val="20"/>
              </w:rPr>
              <w:t xml:space="preserve"> and depletion of </w:t>
            </w:r>
            <w:r w:rsidRPr="00545FB7">
              <w:rPr>
                <w:rFonts w:cs="Arial"/>
                <w:i/>
                <w:sz w:val="20"/>
                <w:szCs w:val="20"/>
              </w:rPr>
              <w:t>Akkermansia c</w:t>
            </w:r>
            <w:r w:rsidRPr="00545FB7">
              <w:rPr>
                <w:rFonts w:cs="Arial"/>
                <w:sz w:val="20"/>
                <w:szCs w:val="20"/>
              </w:rPr>
              <w:t>ompared with soy oil.</w:t>
            </w:r>
          </w:p>
        </w:tc>
        <w:tc>
          <w:tcPr>
            <w:tcW w:w="2896"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Patrone </w:t>
            </w:r>
            <w:r w:rsidRPr="00545FB7">
              <w:rPr>
                <w:rFonts w:cs="Arial"/>
                <w:i/>
                <w:sz w:val="20"/>
                <w:szCs w:val="20"/>
              </w:rPr>
              <w:t>et al</w:t>
            </w:r>
            <w:r w:rsidRPr="00545FB7">
              <w:rPr>
                <w:rFonts w:cs="Arial"/>
                <w:sz w:val="20"/>
                <w:szCs w:val="20"/>
              </w:rPr>
              <w:t xml:space="preserve"> (2018)</w:t>
            </w:r>
          </w:p>
        </w:tc>
      </w:tr>
      <w:tr w:rsidR="00AE2D7F" w:rsidRPr="00545FB7" w:rsidTr="008449DA">
        <w:tc>
          <w:tcPr>
            <w:tcW w:w="3568" w:type="dxa"/>
          </w:tcPr>
          <w:p w:rsidR="00AE2D7F" w:rsidRPr="00545FB7" w:rsidRDefault="00AE2D7F" w:rsidP="00DD63C3">
            <w:pPr>
              <w:pStyle w:val="ListParagraph"/>
              <w:ind w:left="0"/>
              <w:rPr>
                <w:rFonts w:cs="Arial"/>
                <w:i/>
                <w:sz w:val="20"/>
                <w:szCs w:val="20"/>
              </w:rPr>
            </w:pPr>
            <w:r>
              <w:rPr>
                <w:rFonts w:cs="Arial"/>
                <w:sz w:val="20"/>
                <w:szCs w:val="20"/>
              </w:rPr>
              <w:t>M</w:t>
            </w:r>
            <w:r w:rsidRPr="00545FB7">
              <w:rPr>
                <w:rFonts w:cs="Arial"/>
                <w:sz w:val="20"/>
                <w:szCs w:val="20"/>
              </w:rPr>
              <w:t>ale and female CD-1 mice</w:t>
            </w:r>
          </w:p>
        </w:tc>
        <w:tc>
          <w:tcPr>
            <w:tcW w:w="3215" w:type="dxa"/>
          </w:tcPr>
          <w:p w:rsidR="00AE2D7F" w:rsidRPr="00545FB7" w:rsidRDefault="00AE2D7F" w:rsidP="00DD63C3">
            <w:pPr>
              <w:pStyle w:val="ListParagraph"/>
              <w:ind w:left="0"/>
              <w:rPr>
                <w:rFonts w:cs="Arial"/>
                <w:i/>
                <w:sz w:val="20"/>
                <w:szCs w:val="20"/>
              </w:rPr>
            </w:pPr>
            <w:r>
              <w:rPr>
                <w:rFonts w:cs="Arial"/>
                <w:sz w:val="20"/>
                <w:szCs w:val="20"/>
              </w:rPr>
              <w:t>A</w:t>
            </w:r>
            <w:r w:rsidRPr="00545FB7">
              <w:rPr>
                <w:rFonts w:cs="Arial"/>
                <w:sz w:val="20"/>
                <w:szCs w:val="20"/>
              </w:rPr>
              <w:t>cesulfame-K</w:t>
            </w:r>
            <w:r w:rsidR="000E3132">
              <w:rPr>
                <w:rFonts w:cs="Arial"/>
                <w:sz w:val="20"/>
                <w:szCs w:val="20"/>
              </w:rPr>
              <w:t xml:space="preserve"> (37.5 mg/kg bw/ day by gavage for 4 weeks)</w:t>
            </w:r>
          </w:p>
        </w:tc>
        <w:tc>
          <w:tcPr>
            <w:tcW w:w="4274" w:type="dxa"/>
          </w:tcPr>
          <w:p w:rsidR="00AE2D7F" w:rsidRPr="00545FB7" w:rsidRDefault="00AE2D7F" w:rsidP="00DD63C3">
            <w:pPr>
              <w:pStyle w:val="ListParagraph"/>
              <w:ind w:left="0"/>
              <w:rPr>
                <w:rFonts w:cs="Arial"/>
                <w:i/>
                <w:sz w:val="20"/>
                <w:szCs w:val="20"/>
              </w:rPr>
            </w:pPr>
            <w:r w:rsidRPr="00545FB7">
              <w:rPr>
                <w:rFonts w:cs="Arial"/>
                <w:sz w:val="20"/>
                <w:szCs w:val="20"/>
              </w:rPr>
              <w:t>Various genera affected. carbohydrate absorption and metabolism genes decreased in females and increased in males. In male mice inflammation and virulence genes upregulated. Organic acid and bile acids were affected differently in male and female mice</w:t>
            </w:r>
          </w:p>
        </w:tc>
        <w:tc>
          <w:tcPr>
            <w:tcW w:w="2896"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Bian </w:t>
            </w:r>
            <w:r w:rsidRPr="00545FB7">
              <w:rPr>
                <w:rFonts w:cs="Arial"/>
                <w:i/>
                <w:sz w:val="20"/>
                <w:szCs w:val="20"/>
              </w:rPr>
              <w:t>et al</w:t>
            </w:r>
            <w:r w:rsidRPr="00545FB7">
              <w:rPr>
                <w:rFonts w:cs="Arial"/>
                <w:sz w:val="20"/>
                <w:szCs w:val="20"/>
              </w:rPr>
              <w:t xml:space="preserve"> (2017)</w:t>
            </w:r>
          </w:p>
        </w:tc>
      </w:tr>
      <w:tr w:rsidR="00AE2D7F" w:rsidRPr="00545FB7" w:rsidTr="008449DA">
        <w:tc>
          <w:tcPr>
            <w:tcW w:w="3568" w:type="dxa"/>
          </w:tcPr>
          <w:p w:rsidR="00AE2D7F" w:rsidRPr="00545FB7" w:rsidRDefault="00AE2D7F" w:rsidP="00DD63C3">
            <w:pPr>
              <w:pStyle w:val="ListParagraph"/>
              <w:ind w:left="0"/>
              <w:rPr>
                <w:rFonts w:cs="Arial"/>
                <w:i/>
                <w:sz w:val="20"/>
                <w:szCs w:val="20"/>
              </w:rPr>
            </w:pPr>
            <w:r>
              <w:rPr>
                <w:rFonts w:cs="Arial"/>
                <w:sz w:val="20"/>
                <w:szCs w:val="20"/>
              </w:rPr>
              <w:t>M</w:t>
            </w:r>
            <w:r w:rsidRPr="00545FB7">
              <w:rPr>
                <w:rFonts w:cs="Arial"/>
                <w:sz w:val="20"/>
                <w:szCs w:val="20"/>
              </w:rPr>
              <w:t>ouse model of Cohn’s disease</w:t>
            </w:r>
          </w:p>
        </w:tc>
        <w:tc>
          <w:tcPr>
            <w:tcW w:w="3215" w:type="dxa"/>
          </w:tcPr>
          <w:p w:rsidR="00AE2D7F" w:rsidRDefault="00AE2D7F" w:rsidP="00DD63C3">
            <w:pPr>
              <w:pStyle w:val="ListParagraph"/>
              <w:ind w:left="0"/>
              <w:rPr>
                <w:rFonts w:cs="Arial"/>
                <w:sz w:val="20"/>
                <w:szCs w:val="20"/>
              </w:rPr>
            </w:pPr>
            <w:r w:rsidRPr="00545FB7">
              <w:rPr>
                <w:rFonts w:cs="Arial"/>
                <w:sz w:val="20"/>
                <w:szCs w:val="20"/>
              </w:rPr>
              <w:t xml:space="preserve">Splenda (1% sucralose, 99% </w:t>
            </w:r>
          </w:p>
          <w:p w:rsidR="00AE2D7F" w:rsidRPr="00545FB7" w:rsidRDefault="00AE2D7F" w:rsidP="00DD63C3">
            <w:pPr>
              <w:pStyle w:val="ListParagraph"/>
              <w:ind w:left="0"/>
              <w:rPr>
                <w:rFonts w:cs="Arial"/>
                <w:i/>
                <w:sz w:val="20"/>
                <w:szCs w:val="20"/>
              </w:rPr>
            </w:pPr>
            <w:r>
              <w:rPr>
                <w:rFonts w:cs="Arial"/>
                <w:sz w:val="20"/>
                <w:szCs w:val="20"/>
              </w:rPr>
              <w:t>m</w:t>
            </w:r>
            <w:r w:rsidRPr="00545FB7">
              <w:rPr>
                <w:rFonts w:cs="Arial"/>
                <w:sz w:val="20"/>
                <w:szCs w:val="20"/>
              </w:rPr>
              <w:t>altodextrin w/w)</w:t>
            </w:r>
            <w:r w:rsidR="004F62A8">
              <w:rPr>
                <w:rFonts w:cs="Arial"/>
                <w:sz w:val="20"/>
                <w:szCs w:val="20"/>
              </w:rPr>
              <w:t xml:space="preserve"> (1.08, 3.5 or 35 mg/kml in drinking water for 6 weeks)</w:t>
            </w:r>
          </w:p>
        </w:tc>
        <w:tc>
          <w:tcPr>
            <w:tcW w:w="4274" w:type="dxa"/>
          </w:tcPr>
          <w:p w:rsidR="00AE2D7F" w:rsidRPr="00545FB7" w:rsidRDefault="00AE2D7F" w:rsidP="00DD63C3">
            <w:pPr>
              <w:pStyle w:val="ListParagraph"/>
              <w:ind w:left="0"/>
              <w:rPr>
                <w:rFonts w:cs="Arial"/>
                <w:i/>
                <w:sz w:val="20"/>
                <w:szCs w:val="20"/>
              </w:rPr>
            </w:pPr>
            <w:proofErr w:type="gramStart"/>
            <w:r w:rsidRPr="00545FB7">
              <w:rPr>
                <w:rFonts w:cs="Arial"/>
                <w:sz w:val="20"/>
                <w:szCs w:val="20"/>
              </w:rPr>
              <w:t>Over growth</w:t>
            </w:r>
            <w:proofErr w:type="gramEnd"/>
            <w:r w:rsidRPr="00545FB7">
              <w:rPr>
                <w:rFonts w:cs="Arial"/>
                <w:sz w:val="20"/>
                <w:szCs w:val="20"/>
              </w:rPr>
              <w:t xml:space="preserve"> of 5 classes within the phylum </w:t>
            </w:r>
            <w:r w:rsidRPr="00545FB7">
              <w:rPr>
                <w:rFonts w:cs="Arial"/>
                <w:i/>
                <w:sz w:val="20"/>
                <w:szCs w:val="20"/>
              </w:rPr>
              <w:t>Proteobacteria</w:t>
            </w:r>
            <w:r w:rsidRPr="00545FB7">
              <w:rPr>
                <w:rFonts w:cs="Arial"/>
                <w:sz w:val="20"/>
                <w:szCs w:val="20"/>
              </w:rPr>
              <w:t xml:space="preserve">. No significant change to </w:t>
            </w:r>
            <w:r w:rsidRPr="00545FB7">
              <w:rPr>
                <w:rFonts w:cs="Arial"/>
                <w:i/>
                <w:sz w:val="20"/>
                <w:szCs w:val="20"/>
              </w:rPr>
              <w:t>Firmicutes</w:t>
            </w:r>
            <w:r w:rsidRPr="00545FB7">
              <w:rPr>
                <w:rFonts w:cs="Arial"/>
                <w:sz w:val="20"/>
                <w:szCs w:val="20"/>
              </w:rPr>
              <w:t xml:space="preserve"> or </w:t>
            </w:r>
            <w:r w:rsidRPr="00545FB7">
              <w:rPr>
                <w:rFonts w:cs="Arial"/>
                <w:i/>
                <w:sz w:val="20"/>
                <w:szCs w:val="20"/>
              </w:rPr>
              <w:t>Bacteroidetes</w:t>
            </w:r>
            <w:r w:rsidRPr="00545FB7">
              <w:rPr>
                <w:rFonts w:cs="Arial"/>
                <w:sz w:val="20"/>
                <w:szCs w:val="20"/>
              </w:rPr>
              <w:t>.</w:t>
            </w:r>
          </w:p>
        </w:tc>
        <w:tc>
          <w:tcPr>
            <w:tcW w:w="2896"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Rodriguez-Palacios </w:t>
            </w:r>
            <w:r w:rsidRPr="00545FB7">
              <w:rPr>
                <w:rFonts w:cs="Arial"/>
                <w:i/>
                <w:sz w:val="20"/>
                <w:szCs w:val="20"/>
              </w:rPr>
              <w:t xml:space="preserve">et al </w:t>
            </w:r>
            <w:r w:rsidRPr="00545FB7">
              <w:rPr>
                <w:rFonts w:cs="Arial"/>
                <w:sz w:val="20"/>
                <w:szCs w:val="20"/>
              </w:rPr>
              <w:t>(2018)</w:t>
            </w:r>
          </w:p>
        </w:tc>
      </w:tr>
      <w:tr w:rsidR="00AE2D7F" w:rsidRPr="00545FB7" w:rsidTr="008449DA">
        <w:tc>
          <w:tcPr>
            <w:tcW w:w="3568" w:type="dxa"/>
          </w:tcPr>
          <w:p w:rsidR="00AE2D7F" w:rsidRPr="00545FB7" w:rsidRDefault="00AE2D7F" w:rsidP="00DD63C3">
            <w:pPr>
              <w:pStyle w:val="ListParagraph"/>
              <w:ind w:left="0"/>
              <w:rPr>
                <w:rFonts w:cs="Arial"/>
                <w:i/>
                <w:sz w:val="20"/>
                <w:szCs w:val="20"/>
              </w:rPr>
            </w:pPr>
            <w:r>
              <w:rPr>
                <w:rFonts w:cs="Arial"/>
                <w:sz w:val="20"/>
                <w:szCs w:val="20"/>
              </w:rPr>
              <w:t>M</w:t>
            </w:r>
            <w:r w:rsidRPr="00545FB7">
              <w:rPr>
                <w:rFonts w:cs="Arial"/>
                <w:sz w:val="20"/>
                <w:szCs w:val="20"/>
              </w:rPr>
              <w:t>ale C57BL6 mice</w:t>
            </w:r>
          </w:p>
        </w:tc>
        <w:tc>
          <w:tcPr>
            <w:tcW w:w="3215" w:type="dxa"/>
          </w:tcPr>
          <w:p w:rsidR="00AE2D7F" w:rsidRPr="00545FB7" w:rsidRDefault="00AE2D7F" w:rsidP="00DD63C3">
            <w:pPr>
              <w:pStyle w:val="ListParagraph"/>
              <w:ind w:left="0"/>
              <w:rPr>
                <w:rFonts w:cs="Arial"/>
                <w:i/>
                <w:sz w:val="20"/>
                <w:szCs w:val="20"/>
              </w:rPr>
            </w:pPr>
            <w:r>
              <w:rPr>
                <w:rFonts w:cs="Arial"/>
                <w:sz w:val="20"/>
                <w:szCs w:val="20"/>
              </w:rPr>
              <w:t>S</w:t>
            </w:r>
            <w:r w:rsidRPr="00545FB7">
              <w:rPr>
                <w:rFonts w:cs="Arial"/>
                <w:sz w:val="20"/>
                <w:szCs w:val="20"/>
              </w:rPr>
              <w:t>ucralose</w:t>
            </w:r>
            <w:r w:rsidR="000E3132">
              <w:rPr>
                <w:rFonts w:cs="Arial"/>
                <w:sz w:val="20"/>
                <w:szCs w:val="20"/>
              </w:rPr>
              <w:t xml:space="preserve"> (0.1 mg/ml in drinking water for 6 months, equivalent to 5 mg/kg bw/ day in humans)</w:t>
            </w:r>
          </w:p>
        </w:tc>
        <w:tc>
          <w:tcPr>
            <w:tcW w:w="4274"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Genes for LPS synthesis and flagellar components and fimbriae were </w:t>
            </w:r>
            <w:proofErr w:type="gramStart"/>
            <w:r w:rsidRPr="00545FB7">
              <w:rPr>
                <w:rFonts w:cs="Arial"/>
                <w:sz w:val="20"/>
                <w:szCs w:val="20"/>
              </w:rPr>
              <w:t>up-regulated</w:t>
            </w:r>
            <w:proofErr w:type="gramEnd"/>
          </w:p>
        </w:tc>
        <w:tc>
          <w:tcPr>
            <w:tcW w:w="2896" w:type="dxa"/>
          </w:tcPr>
          <w:p w:rsidR="00AE2D7F" w:rsidRPr="00545FB7" w:rsidRDefault="00AE2D7F" w:rsidP="00DD63C3">
            <w:pPr>
              <w:pStyle w:val="ListParagraph"/>
              <w:ind w:left="0"/>
              <w:rPr>
                <w:rFonts w:cs="Arial"/>
                <w:i/>
                <w:sz w:val="20"/>
                <w:szCs w:val="20"/>
              </w:rPr>
            </w:pPr>
            <w:r w:rsidRPr="00545FB7">
              <w:rPr>
                <w:rFonts w:cs="Arial"/>
                <w:sz w:val="20"/>
                <w:szCs w:val="20"/>
              </w:rPr>
              <w:t>Biam</w:t>
            </w:r>
            <w:r w:rsidR="000E3132">
              <w:rPr>
                <w:rFonts w:cs="Arial"/>
                <w:i/>
                <w:sz w:val="20"/>
                <w:szCs w:val="20"/>
              </w:rPr>
              <w:t>n</w:t>
            </w:r>
            <w:r w:rsidRPr="00545FB7">
              <w:rPr>
                <w:rFonts w:cs="Arial"/>
                <w:i/>
                <w:sz w:val="20"/>
                <w:szCs w:val="20"/>
              </w:rPr>
              <w:t>et al</w:t>
            </w:r>
            <w:r w:rsidRPr="00545FB7">
              <w:rPr>
                <w:rFonts w:cs="Arial"/>
                <w:sz w:val="20"/>
                <w:szCs w:val="20"/>
              </w:rPr>
              <w:t xml:space="preserve"> (2017)</w:t>
            </w:r>
          </w:p>
        </w:tc>
      </w:tr>
      <w:tr w:rsidR="00AE2D7F" w:rsidRPr="00545FB7" w:rsidTr="008449DA">
        <w:tc>
          <w:tcPr>
            <w:tcW w:w="3568" w:type="dxa"/>
          </w:tcPr>
          <w:p w:rsidR="00AE2D7F" w:rsidRPr="00545FB7" w:rsidRDefault="00AE2D7F" w:rsidP="00DD63C3">
            <w:pPr>
              <w:pStyle w:val="ListParagraph"/>
              <w:ind w:left="0"/>
              <w:rPr>
                <w:rFonts w:cs="Arial"/>
                <w:i/>
                <w:sz w:val="20"/>
                <w:szCs w:val="20"/>
              </w:rPr>
            </w:pPr>
            <w:r>
              <w:rPr>
                <w:rFonts w:cs="Arial"/>
                <w:sz w:val="20"/>
                <w:szCs w:val="20"/>
              </w:rPr>
              <w:t>M</w:t>
            </w:r>
            <w:r w:rsidRPr="00545FB7">
              <w:rPr>
                <w:rFonts w:cs="Arial"/>
                <w:sz w:val="20"/>
                <w:szCs w:val="20"/>
              </w:rPr>
              <w:t>ale C57BL/6 mice</w:t>
            </w:r>
          </w:p>
        </w:tc>
        <w:tc>
          <w:tcPr>
            <w:tcW w:w="3215" w:type="dxa"/>
          </w:tcPr>
          <w:p w:rsidR="00AE2D7F" w:rsidRPr="00545FB7" w:rsidRDefault="00AE2D7F" w:rsidP="00DD63C3">
            <w:pPr>
              <w:pStyle w:val="ListParagraph"/>
              <w:ind w:left="0"/>
              <w:rPr>
                <w:rFonts w:cs="Arial"/>
                <w:i/>
                <w:sz w:val="20"/>
                <w:szCs w:val="20"/>
              </w:rPr>
            </w:pPr>
            <w:r>
              <w:rPr>
                <w:rFonts w:cs="Arial"/>
                <w:sz w:val="20"/>
                <w:szCs w:val="20"/>
              </w:rPr>
              <w:t>X</w:t>
            </w:r>
            <w:r w:rsidRPr="00545FB7">
              <w:rPr>
                <w:rFonts w:cs="Arial"/>
                <w:sz w:val="20"/>
                <w:szCs w:val="20"/>
              </w:rPr>
              <w:t>ylitol</w:t>
            </w:r>
            <w:r w:rsidR="004F62A8">
              <w:rPr>
                <w:rFonts w:cs="Arial"/>
                <w:sz w:val="20"/>
                <w:szCs w:val="20"/>
              </w:rPr>
              <w:t xml:space="preserve"> (40 or 200 mg/kg bw/day for 18 weeks in conjuction with low- or high fat diet</w:t>
            </w:r>
          </w:p>
        </w:tc>
        <w:tc>
          <w:tcPr>
            <w:tcW w:w="4274" w:type="dxa"/>
          </w:tcPr>
          <w:p w:rsidR="00AE2D7F" w:rsidRPr="00545FB7" w:rsidRDefault="00AE2D7F" w:rsidP="00DD63C3">
            <w:pPr>
              <w:pStyle w:val="ListParagraph"/>
              <w:ind w:left="0"/>
              <w:rPr>
                <w:rFonts w:cs="Arial"/>
                <w:sz w:val="20"/>
                <w:szCs w:val="20"/>
              </w:rPr>
            </w:pPr>
            <w:r w:rsidRPr="00545FB7">
              <w:rPr>
                <w:rFonts w:cs="Arial"/>
                <w:sz w:val="20"/>
                <w:szCs w:val="20"/>
              </w:rPr>
              <w:t>No significant changes</w:t>
            </w:r>
          </w:p>
        </w:tc>
        <w:tc>
          <w:tcPr>
            <w:tcW w:w="2896" w:type="dxa"/>
          </w:tcPr>
          <w:p w:rsidR="00AE2D7F" w:rsidRPr="00545FB7" w:rsidRDefault="00AE2D7F" w:rsidP="00DD63C3">
            <w:pPr>
              <w:pStyle w:val="ListParagraph"/>
              <w:ind w:left="0"/>
              <w:rPr>
                <w:rFonts w:cs="Arial"/>
                <w:i/>
                <w:sz w:val="20"/>
                <w:szCs w:val="20"/>
              </w:rPr>
            </w:pPr>
            <w:r w:rsidRPr="00545FB7">
              <w:rPr>
                <w:rFonts w:cs="Arial"/>
                <w:sz w:val="20"/>
                <w:szCs w:val="20"/>
              </w:rPr>
              <w:t xml:space="preserve">Uebanso </w:t>
            </w:r>
            <w:r w:rsidRPr="00545FB7">
              <w:rPr>
                <w:rFonts w:cs="Arial"/>
                <w:i/>
                <w:sz w:val="20"/>
                <w:szCs w:val="20"/>
              </w:rPr>
              <w:t>et al</w:t>
            </w:r>
            <w:r w:rsidRPr="00545FB7">
              <w:rPr>
                <w:rFonts w:cs="Arial"/>
                <w:sz w:val="20"/>
                <w:szCs w:val="20"/>
              </w:rPr>
              <w:t xml:space="preserve"> (2017)</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Pr>
                <w:rFonts w:cs="Arial"/>
                <w:sz w:val="20"/>
                <w:szCs w:val="20"/>
              </w:rPr>
              <w:t>M</w:t>
            </w:r>
            <w:r w:rsidRPr="00545FB7">
              <w:rPr>
                <w:rFonts w:cs="Arial"/>
                <w:sz w:val="20"/>
                <w:szCs w:val="20"/>
              </w:rPr>
              <w:t>ale Sprague Dawley rats</w:t>
            </w:r>
          </w:p>
        </w:tc>
        <w:tc>
          <w:tcPr>
            <w:tcW w:w="3215" w:type="dxa"/>
          </w:tcPr>
          <w:p w:rsidR="00AE2D7F" w:rsidRPr="00545FB7" w:rsidRDefault="00AE2D7F" w:rsidP="00DD63C3">
            <w:pPr>
              <w:pStyle w:val="ListParagraph"/>
              <w:ind w:left="0"/>
              <w:rPr>
                <w:rFonts w:cs="Arial"/>
                <w:sz w:val="20"/>
                <w:szCs w:val="20"/>
              </w:rPr>
            </w:pPr>
            <w:r>
              <w:rPr>
                <w:rFonts w:cs="Arial"/>
                <w:sz w:val="20"/>
                <w:szCs w:val="20"/>
              </w:rPr>
              <w:t>E</w:t>
            </w:r>
            <w:r w:rsidRPr="00545FB7">
              <w:rPr>
                <w:rFonts w:cs="Arial"/>
                <w:sz w:val="20"/>
                <w:szCs w:val="20"/>
              </w:rPr>
              <w:t>thanol</w:t>
            </w:r>
            <w:r w:rsidR="002C492D">
              <w:rPr>
                <w:rFonts w:cs="Arial"/>
                <w:sz w:val="20"/>
                <w:szCs w:val="20"/>
              </w:rPr>
              <w:t xml:space="preserve"> (2 g/kg bw/ day, escalating over 2 weeks to 8g/kg bw/day for a further 8 weeks)</w:t>
            </w:r>
          </w:p>
        </w:tc>
        <w:tc>
          <w:tcPr>
            <w:tcW w:w="4274" w:type="dxa"/>
          </w:tcPr>
          <w:p w:rsidR="00AE2D7F" w:rsidRPr="00545FB7" w:rsidRDefault="00AE2D7F" w:rsidP="00DD63C3">
            <w:pPr>
              <w:pStyle w:val="ListParagraph"/>
              <w:ind w:left="0"/>
              <w:rPr>
                <w:rFonts w:cs="Arial"/>
                <w:sz w:val="20"/>
                <w:szCs w:val="20"/>
              </w:rPr>
            </w:pPr>
            <w:r w:rsidRPr="00545FB7">
              <w:rPr>
                <w:rFonts w:cs="Arial"/>
                <w:sz w:val="20"/>
                <w:szCs w:val="20"/>
              </w:rPr>
              <w:t>Significant changes (p&lt;0.05) to  diversity, richness and evenness of the colonic population Addition of oats or the probiotic Lactobacillus, maintained parameters at control levels</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 xml:space="preserve">Mutlu </w:t>
            </w:r>
            <w:r w:rsidRPr="00545FB7">
              <w:rPr>
                <w:rFonts w:cs="Arial"/>
                <w:i/>
                <w:sz w:val="20"/>
                <w:szCs w:val="20"/>
              </w:rPr>
              <w:t>et al</w:t>
            </w:r>
            <w:r w:rsidRPr="00545FB7">
              <w:rPr>
                <w:rFonts w:cs="Arial"/>
                <w:sz w:val="20"/>
                <w:szCs w:val="20"/>
              </w:rPr>
              <w:t xml:space="preserve"> (2009)</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Pr>
                <w:rFonts w:cs="Arial"/>
                <w:sz w:val="20"/>
                <w:szCs w:val="20"/>
              </w:rPr>
              <w:t>M</w:t>
            </w:r>
            <w:r w:rsidRPr="00545FB7">
              <w:rPr>
                <w:rFonts w:cs="Arial"/>
                <w:sz w:val="20"/>
                <w:szCs w:val="20"/>
              </w:rPr>
              <w:t>ale Sprague Dawley rats</w:t>
            </w:r>
          </w:p>
        </w:tc>
        <w:tc>
          <w:tcPr>
            <w:tcW w:w="3215" w:type="dxa"/>
          </w:tcPr>
          <w:p w:rsidR="00AE2D7F" w:rsidRPr="004F5702" w:rsidRDefault="007702DD" w:rsidP="00DD63C3">
            <w:pPr>
              <w:pStyle w:val="ListParagraph"/>
              <w:ind w:left="0"/>
              <w:rPr>
                <w:rFonts w:cs="Arial"/>
                <w:sz w:val="20"/>
                <w:szCs w:val="20"/>
              </w:rPr>
            </w:pPr>
            <w:r>
              <w:rPr>
                <w:sz w:val="20"/>
                <w:szCs w:val="20"/>
              </w:rPr>
              <w:t>E</w:t>
            </w:r>
            <w:r w:rsidR="004F5702" w:rsidRPr="007702DD">
              <w:rPr>
                <w:sz w:val="20"/>
                <w:szCs w:val="20"/>
              </w:rPr>
              <w:t xml:space="preserve">thanol </w:t>
            </w:r>
            <w:r w:rsidR="004F5702">
              <w:rPr>
                <w:sz w:val="20"/>
                <w:szCs w:val="20"/>
              </w:rPr>
              <w:t xml:space="preserve">in liquid diet at </w:t>
            </w:r>
            <w:r w:rsidR="004F5702" w:rsidRPr="007702DD">
              <w:rPr>
                <w:sz w:val="20"/>
                <w:szCs w:val="20"/>
              </w:rPr>
              <w:t>5%, 5.14%, 5.29% and 5.43%</w:t>
            </w:r>
            <w:r w:rsidR="004F5702">
              <w:rPr>
                <w:sz w:val="20"/>
                <w:szCs w:val="20"/>
              </w:rPr>
              <w:t xml:space="preserve"> w/v</w:t>
            </w:r>
            <w:r w:rsidR="004F5702" w:rsidRPr="007702DD">
              <w:rPr>
                <w:sz w:val="20"/>
                <w:szCs w:val="20"/>
              </w:rPr>
              <w:t xml:space="preserve"> for 1–2, 3–4, 5–6 and 7–8 weeks, respectively</w:t>
            </w:r>
          </w:p>
        </w:tc>
        <w:tc>
          <w:tcPr>
            <w:tcW w:w="4274" w:type="dxa"/>
          </w:tcPr>
          <w:p w:rsidR="00AE2D7F" w:rsidRPr="00545FB7" w:rsidRDefault="00AE2D7F" w:rsidP="00DD63C3">
            <w:pPr>
              <w:pStyle w:val="ListParagraph"/>
              <w:ind w:left="0"/>
              <w:rPr>
                <w:rFonts w:cs="Arial"/>
                <w:sz w:val="20"/>
                <w:szCs w:val="20"/>
              </w:rPr>
            </w:pPr>
            <w:r w:rsidRPr="00545FB7">
              <w:rPr>
                <w:rFonts w:cs="Arial"/>
                <w:sz w:val="20"/>
                <w:szCs w:val="20"/>
              </w:rPr>
              <w:t xml:space="preserve">The distribution of amino acids, fatty acids and steroids changed: branched-chain amino acids increased and SCFAs, (acetate), increased in the stomach and colon. Other metabolites reduced in all compartments </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Xi</w:t>
            </w:r>
            <w:r w:rsidR="002C492D">
              <w:rPr>
                <w:rFonts w:cs="Arial"/>
                <w:sz w:val="20"/>
                <w:szCs w:val="20"/>
              </w:rPr>
              <w:t>a</w:t>
            </w:r>
            <w:r w:rsidRPr="00545FB7">
              <w:rPr>
                <w:rFonts w:cs="Arial"/>
                <w:i/>
                <w:sz w:val="20"/>
                <w:szCs w:val="20"/>
              </w:rPr>
              <w:t xml:space="preserve"> et al</w:t>
            </w:r>
            <w:r w:rsidRPr="00545FB7">
              <w:rPr>
                <w:rFonts w:cs="Arial"/>
                <w:sz w:val="20"/>
                <w:szCs w:val="20"/>
              </w:rPr>
              <w:t xml:space="preserve"> (2013)</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Pr>
                <w:rFonts w:cs="Arial"/>
                <w:sz w:val="20"/>
                <w:szCs w:val="20"/>
              </w:rPr>
              <w:t>M</w:t>
            </w:r>
            <w:r w:rsidRPr="00545FB7">
              <w:rPr>
                <w:rFonts w:cs="Arial"/>
                <w:sz w:val="20"/>
                <w:szCs w:val="20"/>
              </w:rPr>
              <w:t>ale C57BL/6 mice</w:t>
            </w:r>
          </w:p>
        </w:tc>
        <w:tc>
          <w:tcPr>
            <w:tcW w:w="3215" w:type="dxa"/>
          </w:tcPr>
          <w:p w:rsidR="00AE2D7F" w:rsidRPr="00545FB7" w:rsidRDefault="00A5400F" w:rsidP="00DD63C3">
            <w:pPr>
              <w:pStyle w:val="ListParagraph"/>
              <w:ind w:left="0"/>
              <w:rPr>
                <w:rFonts w:cs="Arial"/>
                <w:sz w:val="20"/>
                <w:szCs w:val="20"/>
              </w:rPr>
            </w:pPr>
            <w:r>
              <w:rPr>
                <w:rFonts w:cs="Arial"/>
                <w:sz w:val="20"/>
                <w:szCs w:val="20"/>
              </w:rPr>
              <w:t>(Liquid dietrising from 0 to 5% (w/v) ethanol over 2 weeks, maintained for further 6 weeks</w:t>
            </w:r>
          </w:p>
        </w:tc>
        <w:tc>
          <w:tcPr>
            <w:tcW w:w="4274" w:type="dxa"/>
          </w:tcPr>
          <w:p w:rsidR="00AE2D7F" w:rsidRPr="00545FB7" w:rsidRDefault="00AE2D7F" w:rsidP="00DD63C3">
            <w:pPr>
              <w:pStyle w:val="ListParagraph"/>
              <w:ind w:left="0"/>
              <w:rPr>
                <w:rFonts w:cs="Arial"/>
                <w:sz w:val="20"/>
                <w:szCs w:val="20"/>
              </w:rPr>
            </w:pPr>
            <w:r w:rsidRPr="00545FB7">
              <w:rPr>
                <w:rFonts w:cs="Arial"/>
                <w:sz w:val="20"/>
                <w:szCs w:val="20"/>
              </w:rPr>
              <w:t xml:space="preserve">Reduced </w:t>
            </w:r>
            <w:r w:rsidRPr="00545FB7">
              <w:rPr>
                <w:rFonts w:cs="Arial"/>
                <w:i/>
                <w:sz w:val="20"/>
                <w:szCs w:val="20"/>
              </w:rPr>
              <w:t>Firmicutes</w:t>
            </w:r>
            <w:r w:rsidRPr="00545FB7">
              <w:rPr>
                <w:rFonts w:cs="Arial"/>
                <w:sz w:val="20"/>
                <w:szCs w:val="20"/>
              </w:rPr>
              <w:t xml:space="preserve"> and </w:t>
            </w:r>
            <w:proofErr w:type="gramStart"/>
            <w:r w:rsidRPr="00545FB7">
              <w:rPr>
                <w:rFonts w:cs="Arial"/>
                <w:i/>
                <w:sz w:val="20"/>
                <w:szCs w:val="20"/>
              </w:rPr>
              <w:t>Bacteroidetes</w:t>
            </w:r>
            <w:r w:rsidR="00A5400F">
              <w:rPr>
                <w:rFonts w:cs="Arial"/>
                <w:i/>
                <w:sz w:val="20"/>
                <w:szCs w:val="20"/>
              </w:rPr>
              <w:t xml:space="preserve">, </w:t>
            </w:r>
            <w:r w:rsidRPr="00545FB7">
              <w:rPr>
                <w:rFonts w:cs="Arial"/>
                <w:sz w:val="20"/>
                <w:szCs w:val="20"/>
              </w:rPr>
              <w:t xml:space="preserve"> </w:t>
            </w:r>
            <w:r w:rsidR="004F5702">
              <w:rPr>
                <w:rFonts w:cs="Arial"/>
                <w:sz w:val="20"/>
                <w:szCs w:val="20"/>
              </w:rPr>
              <w:t>o</w:t>
            </w:r>
            <w:r w:rsidRPr="00545FB7">
              <w:rPr>
                <w:rFonts w:cs="Arial"/>
                <w:sz w:val="20"/>
                <w:szCs w:val="20"/>
              </w:rPr>
              <w:t>ver</w:t>
            </w:r>
            <w:proofErr w:type="gramEnd"/>
            <w:r w:rsidRPr="00545FB7">
              <w:rPr>
                <w:rFonts w:cs="Arial"/>
                <w:sz w:val="20"/>
                <w:szCs w:val="20"/>
              </w:rPr>
              <w:t xml:space="preserve"> growth of the </w:t>
            </w:r>
            <w:r w:rsidRPr="00545FB7">
              <w:rPr>
                <w:rFonts w:cs="Arial"/>
                <w:i/>
                <w:sz w:val="20"/>
                <w:szCs w:val="20"/>
              </w:rPr>
              <w:t xml:space="preserve">Actinobacteria </w:t>
            </w:r>
            <w:r w:rsidRPr="00545FB7">
              <w:rPr>
                <w:rFonts w:cs="Arial"/>
                <w:sz w:val="20"/>
                <w:szCs w:val="20"/>
              </w:rPr>
              <w:t xml:space="preserve">and </w:t>
            </w:r>
            <w:r w:rsidRPr="00545FB7">
              <w:rPr>
                <w:rFonts w:cs="Arial"/>
                <w:i/>
                <w:sz w:val="20"/>
                <w:szCs w:val="20"/>
              </w:rPr>
              <w:t>Proteobacteria</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 xml:space="preserve">Bull-Otterson </w:t>
            </w:r>
            <w:r w:rsidRPr="00545FB7">
              <w:rPr>
                <w:rFonts w:cs="Arial"/>
                <w:i/>
                <w:sz w:val="20"/>
                <w:szCs w:val="20"/>
              </w:rPr>
              <w:t>et al</w:t>
            </w:r>
            <w:r w:rsidRPr="00545FB7">
              <w:rPr>
                <w:rFonts w:cs="Arial"/>
                <w:sz w:val="20"/>
                <w:szCs w:val="20"/>
              </w:rPr>
              <w:t xml:space="preserve"> (2013)</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Pr>
                <w:rFonts w:cs="Arial"/>
                <w:sz w:val="20"/>
                <w:szCs w:val="20"/>
              </w:rPr>
              <w:t>F</w:t>
            </w:r>
            <w:r w:rsidRPr="00545FB7">
              <w:rPr>
                <w:rFonts w:cs="Arial"/>
                <w:sz w:val="20"/>
                <w:szCs w:val="20"/>
              </w:rPr>
              <w:t>emale C57BL/6 mice</w:t>
            </w:r>
          </w:p>
        </w:tc>
        <w:tc>
          <w:tcPr>
            <w:tcW w:w="3215" w:type="dxa"/>
          </w:tcPr>
          <w:p w:rsidR="00AE2D7F" w:rsidRPr="00545FB7" w:rsidRDefault="00A5400F" w:rsidP="00DD63C3">
            <w:pPr>
              <w:pStyle w:val="ListParagraph"/>
              <w:ind w:left="0"/>
              <w:rPr>
                <w:rFonts w:cs="Arial"/>
                <w:sz w:val="20"/>
                <w:szCs w:val="20"/>
              </w:rPr>
            </w:pPr>
            <w:r>
              <w:rPr>
                <w:rFonts w:cs="Arial"/>
                <w:sz w:val="20"/>
                <w:szCs w:val="20"/>
              </w:rPr>
              <w:t>(5%(w/v) ethanol in liquid diet for 10 days</w:t>
            </w:r>
          </w:p>
        </w:tc>
        <w:tc>
          <w:tcPr>
            <w:tcW w:w="4274" w:type="dxa"/>
          </w:tcPr>
          <w:p w:rsidR="00AE2D7F" w:rsidRPr="00545FB7" w:rsidRDefault="00AE2D7F" w:rsidP="00DD63C3">
            <w:pPr>
              <w:pStyle w:val="ListParagraph"/>
              <w:ind w:left="0"/>
              <w:rPr>
                <w:rFonts w:cs="Arial"/>
                <w:sz w:val="20"/>
                <w:szCs w:val="20"/>
              </w:rPr>
            </w:pPr>
            <w:r>
              <w:rPr>
                <w:rFonts w:cs="Arial"/>
                <w:sz w:val="20"/>
                <w:szCs w:val="20"/>
              </w:rPr>
              <w:t>N</w:t>
            </w:r>
            <w:r w:rsidRPr="00545FB7">
              <w:rPr>
                <w:rFonts w:cs="Arial"/>
                <w:sz w:val="20"/>
                <w:szCs w:val="20"/>
              </w:rPr>
              <w:t xml:space="preserve">o changes in bacterial diversity but an increase in the </w:t>
            </w:r>
            <w:r w:rsidRPr="00545FB7">
              <w:rPr>
                <w:rFonts w:cs="Arial"/>
                <w:i/>
                <w:sz w:val="20"/>
                <w:szCs w:val="20"/>
              </w:rPr>
              <w:t>Actinobacteria</w:t>
            </w:r>
            <w:r w:rsidRPr="00545FB7">
              <w:rPr>
                <w:rFonts w:cs="Arial"/>
                <w:sz w:val="20"/>
                <w:szCs w:val="20"/>
              </w:rPr>
              <w:t xml:space="preserve"> and a decrease in </w:t>
            </w:r>
            <w:r w:rsidRPr="00545FB7">
              <w:rPr>
                <w:rFonts w:cs="Arial"/>
                <w:i/>
                <w:sz w:val="20"/>
                <w:szCs w:val="20"/>
              </w:rPr>
              <w:t>Verrucomicrobia</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 xml:space="preserve">Lowe </w:t>
            </w:r>
            <w:r w:rsidRPr="00545FB7">
              <w:rPr>
                <w:rFonts w:cs="Arial"/>
                <w:i/>
                <w:sz w:val="20"/>
                <w:szCs w:val="20"/>
              </w:rPr>
              <w:t xml:space="preserve">et al </w:t>
            </w:r>
            <w:r w:rsidRPr="00545FB7">
              <w:rPr>
                <w:rFonts w:cs="Arial"/>
                <w:sz w:val="20"/>
                <w:szCs w:val="20"/>
              </w:rPr>
              <w:t xml:space="preserve">(2017) and Lowe </w:t>
            </w:r>
            <w:r w:rsidRPr="00545FB7">
              <w:rPr>
                <w:rFonts w:cs="Arial"/>
                <w:i/>
                <w:sz w:val="20"/>
                <w:szCs w:val="20"/>
              </w:rPr>
              <w:t xml:space="preserve">et al </w:t>
            </w:r>
            <w:r w:rsidRPr="00545FB7">
              <w:rPr>
                <w:rFonts w:cs="Arial"/>
                <w:sz w:val="20"/>
                <w:szCs w:val="20"/>
              </w:rPr>
              <w:t>(2018)</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Pr>
                <w:rFonts w:cs="Arial"/>
                <w:sz w:val="20"/>
                <w:szCs w:val="20"/>
              </w:rPr>
              <w:t>M</w:t>
            </w:r>
            <w:r w:rsidRPr="00545FB7">
              <w:rPr>
                <w:rFonts w:cs="Arial"/>
                <w:sz w:val="20"/>
                <w:szCs w:val="20"/>
              </w:rPr>
              <w:t>ale Sprague Dawley rats</w:t>
            </w:r>
          </w:p>
        </w:tc>
        <w:tc>
          <w:tcPr>
            <w:tcW w:w="3215" w:type="dxa"/>
          </w:tcPr>
          <w:p w:rsidR="00AE2D7F" w:rsidRPr="00545FB7" w:rsidRDefault="00AE2D7F" w:rsidP="00DD63C3">
            <w:pPr>
              <w:pStyle w:val="ListParagraph"/>
              <w:ind w:left="0"/>
              <w:rPr>
                <w:rFonts w:cs="Arial"/>
                <w:sz w:val="20"/>
                <w:szCs w:val="20"/>
              </w:rPr>
            </w:pPr>
            <w:r>
              <w:rPr>
                <w:rFonts w:cs="Arial"/>
                <w:sz w:val="20"/>
                <w:szCs w:val="20"/>
              </w:rPr>
              <w:t>Af</w:t>
            </w:r>
            <w:r w:rsidRPr="00545FB7">
              <w:rPr>
                <w:rFonts w:cs="Arial"/>
                <w:sz w:val="20"/>
                <w:szCs w:val="20"/>
              </w:rPr>
              <w:t>latoxin B1 (AFB1)</w:t>
            </w:r>
            <w:r w:rsidR="00393AD4">
              <w:rPr>
                <w:rFonts w:cs="Arial"/>
                <w:sz w:val="20"/>
                <w:szCs w:val="20"/>
              </w:rPr>
              <w:t xml:space="preserve"> (25 </w:t>
            </w:r>
            <w:r w:rsidR="00393AD4" w:rsidRPr="007702DD">
              <w:rPr>
                <w:rFonts w:ascii="Symbol" w:hAnsi="Symbol" w:cs="Arial"/>
                <w:sz w:val="20"/>
                <w:szCs w:val="20"/>
              </w:rPr>
              <w:t></w:t>
            </w:r>
            <w:r w:rsidR="00393AD4">
              <w:rPr>
                <w:rFonts w:cs="Arial"/>
                <w:sz w:val="20"/>
                <w:szCs w:val="20"/>
              </w:rPr>
              <w:t>g/kg bw 5 days a week for 4 weeks)</w:t>
            </w:r>
          </w:p>
        </w:tc>
        <w:tc>
          <w:tcPr>
            <w:tcW w:w="4274" w:type="dxa"/>
          </w:tcPr>
          <w:p w:rsidR="00AE2D7F" w:rsidRPr="00545FB7" w:rsidRDefault="00AE2D7F" w:rsidP="00DD63C3">
            <w:pPr>
              <w:pStyle w:val="ListParagraph"/>
              <w:ind w:left="0"/>
              <w:rPr>
                <w:rFonts w:cs="Arial"/>
                <w:sz w:val="20"/>
                <w:szCs w:val="20"/>
              </w:rPr>
            </w:pPr>
            <w:r w:rsidRPr="00545FB7">
              <w:rPr>
                <w:rFonts w:cs="Arial"/>
                <w:sz w:val="20"/>
                <w:szCs w:val="20"/>
              </w:rPr>
              <w:t xml:space="preserve">Slight reduction in </w:t>
            </w:r>
            <w:r w:rsidRPr="00545FB7">
              <w:rPr>
                <w:rFonts w:cs="Arial"/>
                <w:i/>
                <w:sz w:val="20"/>
                <w:szCs w:val="20"/>
              </w:rPr>
              <w:t>Bacteroidetes</w:t>
            </w:r>
            <w:r w:rsidRPr="00545FB7">
              <w:rPr>
                <w:rFonts w:cs="Arial"/>
                <w:sz w:val="20"/>
                <w:szCs w:val="20"/>
              </w:rPr>
              <w:t xml:space="preserve"> minor increases in </w:t>
            </w:r>
            <w:r w:rsidRPr="00545FB7">
              <w:rPr>
                <w:rFonts w:cs="Arial"/>
                <w:i/>
                <w:sz w:val="20"/>
                <w:szCs w:val="20"/>
              </w:rPr>
              <w:t xml:space="preserve">Firmicutes </w:t>
            </w:r>
            <w:r w:rsidRPr="00545FB7">
              <w:rPr>
                <w:rFonts w:cs="Arial"/>
                <w:sz w:val="20"/>
                <w:szCs w:val="20"/>
              </w:rPr>
              <w:t xml:space="preserve">and </w:t>
            </w:r>
            <w:r w:rsidRPr="00545FB7">
              <w:rPr>
                <w:rFonts w:cs="Arial"/>
                <w:i/>
                <w:sz w:val="20"/>
                <w:szCs w:val="20"/>
              </w:rPr>
              <w:t>Proteobacteria</w:t>
            </w:r>
            <w:r w:rsidRPr="00545FB7">
              <w:rPr>
                <w:rFonts w:cs="Arial"/>
                <w:sz w:val="20"/>
                <w:szCs w:val="20"/>
              </w:rPr>
              <w:t xml:space="preserve"> but marked change at the genus level</w:t>
            </w:r>
            <w:r>
              <w:rPr>
                <w:rFonts w:cs="Arial"/>
                <w:sz w:val="20"/>
                <w:szCs w:val="20"/>
              </w:rPr>
              <w:t>.</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 xml:space="preserve">Liew </w:t>
            </w:r>
            <w:r w:rsidRPr="00545FB7">
              <w:rPr>
                <w:rFonts w:cs="Arial"/>
                <w:i/>
                <w:sz w:val="20"/>
                <w:szCs w:val="20"/>
              </w:rPr>
              <w:t xml:space="preserve">et al </w:t>
            </w:r>
            <w:r w:rsidRPr="00545FB7">
              <w:rPr>
                <w:rFonts w:cs="Arial"/>
                <w:sz w:val="20"/>
                <w:szCs w:val="20"/>
              </w:rPr>
              <w:t>(2019)</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Pr>
                <w:rFonts w:cs="Arial"/>
                <w:sz w:val="20"/>
                <w:szCs w:val="20"/>
              </w:rPr>
              <w:t>M</w:t>
            </w:r>
            <w:r w:rsidRPr="00545FB7">
              <w:rPr>
                <w:rFonts w:cs="Arial"/>
                <w:sz w:val="20"/>
                <w:szCs w:val="20"/>
              </w:rPr>
              <w:t>ale F344 rats</w:t>
            </w:r>
          </w:p>
        </w:tc>
        <w:tc>
          <w:tcPr>
            <w:tcW w:w="3215" w:type="dxa"/>
          </w:tcPr>
          <w:p w:rsidR="00AE2D7F" w:rsidRPr="00545FB7" w:rsidRDefault="000A6F53" w:rsidP="00DD63C3">
            <w:pPr>
              <w:pStyle w:val="ListParagraph"/>
              <w:ind w:left="0"/>
              <w:rPr>
                <w:rFonts w:cs="Arial"/>
                <w:sz w:val="20"/>
                <w:szCs w:val="20"/>
              </w:rPr>
            </w:pPr>
            <w:r>
              <w:rPr>
                <w:rFonts w:cs="Arial"/>
                <w:sz w:val="20"/>
                <w:szCs w:val="20"/>
              </w:rPr>
              <w:t xml:space="preserve">(5, 25 or 75 </w:t>
            </w:r>
            <w:r w:rsidRPr="007702DD">
              <w:rPr>
                <w:rFonts w:ascii="Symbol" w:hAnsi="Symbol" w:cs="Arial"/>
                <w:sz w:val="20"/>
                <w:szCs w:val="20"/>
              </w:rPr>
              <w:t></w:t>
            </w:r>
            <w:r>
              <w:rPr>
                <w:rFonts w:cs="Arial"/>
                <w:sz w:val="20"/>
                <w:szCs w:val="20"/>
              </w:rPr>
              <w:t>g/kg bw/ day by gavage 5 days a week for 4 weeks)</w:t>
            </w:r>
          </w:p>
        </w:tc>
        <w:tc>
          <w:tcPr>
            <w:tcW w:w="4274" w:type="dxa"/>
          </w:tcPr>
          <w:p w:rsidR="00AE2D7F" w:rsidRPr="00545FB7" w:rsidRDefault="00AE2D7F" w:rsidP="00DD63C3">
            <w:pPr>
              <w:pStyle w:val="ListParagraph"/>
              <w:ind w:left="0"/>
              <w:rPr>
                <w:rFonts w:cs="Arial"/>
                <w:sz w:val="20"/>
                <w:szCs w:val="20"/>
              </w:rPr>
            </w:pPr>
            <w:r w:rsidRPr="00545FB7">
              <w:rPr>
                <w:rFonts w:cs="Arial"/>
                <w:sz w:val="20"/>
                <w:szCs w:val="20"/>
              </w:rPr>
              <w:t xml:space="preserve">Reduced genetic diversity No major phylum level shifts but </w:t>
            </w:r>
            <w:r w:rsidRPr="00545FB7">
              <w:rPr>
                <w:rFonts w:cs="Arial"/>
                <w:i/>
                <w:sz w:val="20"/>
                <w:szCs w:val="20"/>
              </w:rPr>
              <w:t>Firmicutes</w:t>
            </w:r>
            <w:r w:rsidRPr="00545FB7">
              <w:rPr>
                <w:rFonts w:cs="Arial"/>
                <w:sz w:val="20"/>
                <w:szCs w:val="20"/>
              </w:rPr>
              <w:t xml:space="preserve"> species were unchanged or increased, but lactic acid bacteria, reduced, Bacteroidetes unchanged or slightly reduced</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 xml:space="preserve">Wang </w:t>
            </w:r>
            <w:r w:rsidRPr="00545FB7">
              <w:rPr>
                <w:rFonts w:cs="Arial"/>
                <w:i/>
                <w:sz w:val="20"/>
                <w:szCs w:val="20"/>
              </w:rPr>
              <w:t>et al</w:t>
            </w:r>
            <w:r w:rsidRPr="00545FB7">
              <w:rPr>
                <w:rFonts w:cs="Arial"/>
                <w:sz w:val="20"/>
                <w:szCs w:val="20"/>
              </w:rPr>
              <w:t xml:space="preserve"> (2015)</w:t>
            </w:r>
          </w:p>
        </w:tc>
      </w:tr>
      <w:tr w:rsidR="00AE2D7F" w:rsidRPr="00545FB7" w:rsidTr="008449DA">
        <w:tc>
          <w:tcPr>
            <w:tcW w:w="3568" w:type="dxa"/>
          </w:tcPr>
          <w:p w:rsidR="00AE2D7F" w:rsidRPr="00545FB7" w:rsidRDefault="00AE2D7F" w:rsidP="00DD63C3">
            <w:pPr>
              <w:rPr>
                <w:rStyle w:val="SubtleReference"/>
                <w:rFonts w:cs="Arial"/>
                <w:smallCaps w:val="0"/>
                <w:color w:val="auto"/>
                <w:sz w:val="20"/>
                <w:szCs w:val="20"/>
              </w:rPr>
            </w:pPr>
            <w:r>
              <w:rPr>
                <w:rStyle w:val="SubtleReference"/>
                <w:rFonts w:cs="Arial"/>
                <w:smallCaps w:val="0"/>
                <w:color w:val="auto"/>
                <w:sz w:val="20"/>
                <w:szCs w:val="20"/>
              </w:rPr>
              <w:t>M</w:t>
            </w:r>
            <w:r w:rsidRPr="00545FB7">
              <w:rPr>
                <w:rStyle w:val="SubtleReference"/>
                <w:rFonts w:cs="Arial"/>
                <w:smallCaps w:val="0"/>
                <w:color w:val="auto"/>
                <w:sz w:val="20"/>
                <w:szCs w:val="20"/>
              </w:rPr>
              <w:t xml:space="preserve">ale C57BL/6 mice </w:t>
            </w:r>
          </w:p>
          <w:p w:rsidR="00AE2D7F" w:rsidRPr="00545FB7" w:rsidRDefault="00AE2D7F" w:rsidP="00DD63C3">
            <w:pPr>
              <w:pStyle w:val="ListParagraph"/>
              <w:ind w:left="0"/>
              <w:rPr>
                <w:rFonts w:cs="Arial"/>
                <w:sz w:val="20"/>
                <w:szCs w:val="20"/>
              </w:rPr>
            </w:pPr>
          </w:p>
        </w:tc>
        <w:tc>
          <w:tcPr>
            <w:tcW w:w="3215"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BaP</w:t>
            </w:r>
            <w:r w:rsidR="008604FA">
              <w:rPr>
                <w:rStyle w:val="SubtleReference"/>
                <w:rFonts w:cs="Arial"/>
                <w:smallCaps w:val="0"/>
                <w:color w:val="auto"/>
                <w:sz w:val="20"/>
                <w:szCs w:val="20"/>
              </w:rPr>
              <w:t xml:space="preserve"> </w:t>
            </w:r>
            <w:r w:rsidR="008604FA" w:rsidRPr="00755293">
              <w:rPr>
                <w:rStyle w:val="SubtleReference"/>
                <w:sz w:val="20"/>
                <w:szCs w:val="20"/>
              </w:rPr>
              <w:t xml:space="preserve">(50 </w:t>
            </w:r>
            <w:r w:rsidR="008604FA" w:rsidRPr="00755293">
              <w:rPr>
                <w:rStyle w:val="SubtleReference"/>
                <w:smallCaps w:val="0"/>
                <w:sz w:val="20"/>
                <w:szCs w:val="20"/>
              </w:rPr>
              <w:t>mg/kg bw by gavage for up to 27 days)</w:t>
            </w:r>
          </w:p>
        </w:tc>
        <w:tc>
          <w:tcPr>
            <w:tcW w:w="4274"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F</w:t>
            </w:r>
            <w:r w:rsidRPr="00545FB7">
              <w:rPr>
                <w:rStyle w:val="SubtleReference"/>
                <w:rFonts w:cs="Arial"/>
                <w:smallCaps w:val="0"/>
                <w:sz w:val="20"/>
                <w:szCs w:val="20"/>
              </w:rPr>
              <w:t xml:space="preserve">aecal </w:t>
            </w:r>
            <w:r w:rsidRPr="00545FB7">
              <w:rPr>
                <w:rStyle w:val="SubtleReference"/>
                <w:rFonts w:cs="Arial"/>
                <w:i/>
                <w:color w:val="auto"/>
                <w:sz w:val="20"/>
                <w:szCs w:val="20"/>
              </w:rPr>
              <w:t>B</w:t>
            </w:r>
            <w:r w:rsidRPr="00545FB7">
              <w:rPr>
                <w:rStyle w:val="SubtleReference"/>
                <w:rFonts w:cs="Arial"/>
                <w:i/>
                <w:smallCaps w:val="0"/>
                <w:color w:val="auto"/>
                <w:sz w:val="20"/>
                <w:szCs w:val="20"/>
              </w:rPr>
              <w:t xml:space="preserve">acteroides </w:t>
            </w:r>
            <w:r w:rsidRPr="00545FB7">
              <w:rPr>
                <w:rStyle w:val="SubtleReference"/>
                <w:rFonts w:cs="Arial"/>
                <w:smallCaps w:val="0"/>
                <w:color w:val="auto"/>
                <w:sz w:val="20"/>
                <w:szCs w:val="20"/>
              </w:rPr>
              <w:t xml:space="preserve">increased and </w:t>
            </w:r>
            <w:r w:rsidRPr="00545FB7">
              <w:rPr>
                <w:rStyle w:val="SubtleReference"/>
                <w:rFonts w:cs="Arial"/>
                <w:i/>
                <w:smallCaps w:val="0"/>
                <w:color w:val="auto"/>
                <w:sz w:val="20"/>
                <w:szCs w:val="20"/>
              </w:rPr>
              <w:t>Verrucomicrobia</w:t>
            </w:r>
            <w:r w:rsidRPr="00545FB7">
              <w:rPr>
                <w:rStyle w:val="SubtleReference"/>
                <w:rFonts w:cs="Arial"/>
                <w:smallCaps w:val="0"/>
                <w:color w:val="auto"/>
                <w:sz w:val="20"/>
                <w:szCs w:val="20"/>
              </w:rPr>
              <w:t xml:space="preserve"> decreased. </w:t>
            </w:r>
            <w:r w:rsidRPr="00545FB7">
              <w:rPr>
                <w:rStyle w:val="SubtleReference"/>
                <w:rFonts w:cs="Arial"/>
                <w:i/>
                <w:smallCaps w:val="0"/>
                <w:color w:val="auto"/>
                <w:sz w:val="20"/>
                <w:szCs w:val="20"/>
              </w:rPr>
              <w:t>Lactobacillus</w:t>
            </w:r>
            <w:r w:rsidRPr="00545FB7">
              <w:rPr>
                <w:rStyle w:val="SubtleReference"/>
                <w:rFonts w:cs="Arial"/>
                <w:smallCaps w:val="0"/>
                <w:color w:val="auto"/>
                <w:sz w:val="20"/>
                <w:szCs w:val="20"/>
              </w:rPr>
              <w:t xml:space="preserve"> and </w:t>
            </w:r>
            <w:r w:rsidRPr="00545FB7">
              <w:rPr>
                <w:rStyle w:val="SubtleReference"/>
                <w:rFonts w:cs="Arial"/>
                <w:i/>
                <w:smallCaps w:val="0"/>
                <w:color w:val="auto"/>
                <w:sz w:val="20"/>
                <w:szCs w:val="20"/>
              </w:rPr>
              <w:t>Akkermansia</w:t>
            </w:r>
            <w:r w:rsidRPr="00545FB7">
              <w:rPr>
                <w:rStyle w:val="SubtleReference"/>
                <w:rFonts w:cs="Arial"/>
                <w:smallCaps w:val="0"/>
                <w:color w:val="auto"/>
                <w:sz w:val="20"/>
                <w:szCs w:val="20"/>
              </w:rPr>
              <w:t>, decreased in t faeces. Different m</w:t>
            </w:r>
            <w:r w:rsidRPr="00545FB7">
              <w:rPr>
                <w:rStyle w:val="SubtleReference"/>
                <w:rFonts w:cs="Arial"/>
                <w:smallCaps w:val="0"/>
                <w:sz w:val="20"/>
                <w:szCs w:val="20"/>
              </w:rPr>
              <w:t xml:space="preserve">ucosal </w:t>
            </w:r>
            <w:r w:rsidRPr="00545FB7">
              <w:rPr>
                <w:rStyle w:val="SubtleReference"/>
                <w:rFonts w:cs="Arial"/>
                <w:smallCaps w:val="0"/>
                <w:color w:val="auto"/>
                <w:sz w:val="20"/>
                <w:szCs w:val="20"/>
              </w:rPr>
              <w:t>taxa increased and decreased, depending upon location.</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Ribière </w:t>
            </w:r>
            <w:r w:rsidRPr="00545FB7">
              <w:rPr>
                <w:rStyle w:val="SubtleReference"/>
                <w:rFonts w:cs="Arial"/>
                <w:i/>
                <w:smallCaps w:val="0"/>
                <w:color w:val="auto"/>
                <w:sz w:val="20"/>
                <w:szCs w:val="20"/>
              </w:rPr>
              <w:t>et al</w:t>
            </w:r>
            <w:r w:rsidRPr="00545FB7">
              <w:rPr>
                <w:rStyle w:val="SubtleReference"/>
                <w:rFonts w:cs="Arial"/>
                <w:smallCaps w:val="0"/>
                <w:color w:val="auto"/>
                <w:sz w:val="20"/>
                <w:szCs w:val="20"/>
              </w:rPr>
              <w:t xml:space="preserve"> (2016)</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Male C57BL/6 mice</w:t>
            </w:r>
          </w:p>
        </w:tc>
        <w:tc>
          <w:tcPr>
            <w:tcW w:w="3215"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2,3,7,8-tetrachlorodibenzo-</w:t>
            </w:r>
            <w:r w:rsidRPr="00545FB7">
              <w:rPr>
                <w:rStyle w:val="SubtleReference"/>
                <w:rFonts w:cs="Arial"/>
                <w:i/>
                <w:smallCaps w:val="0"/>
                <w:color w:val="auto"/>
                <w:sz w:val="20"/>
                <w:szCs w:val="20"/>
              </w:rPr>
              <w:t>p</w:t>
            </w:r>
            <w:r w:rsidRPr="00545FB7">
              <w:rPr>
                <w:rStyle w:val="SubtleReference"/>
                <w:rFonts w:cs="Arial"/>
                <w:smallCaps w:val="0"/>
                <w:color w:val="auto"/>
                <w:sz w:val="20"/>
                <w:szCs w:val="20"/>
              </w:rPr>
              <w:t xml:space="preserve">-dioxin (TCDD). </w:t>
            </w:r>
            <w:r w:rsidR="00EE10EE" w:rsidRPr="00EE10EE">
              <w:rPr>
                <w:rStyle w:val="SubtleReference"/>
                <w:rFonts w:cs="Arial"/>
                <w:smallCaps w:val="0"/>
                <w:color w:val="auto"/>
                <w:sz w:val="20"/>
                <w:szCs w:val="20"/>
              </w:rPr>
              <w:t>(</w:t>
            </w:r>
            <w:r w:rsidR="008604FA" w:rsidRPr="00755293">
              <w:rPr>
                <w:sz w:val="20"/>
                <w:szCs w:val="20"/>
              </w:rPr>
              <w:t xml:space="preserve">0.01, 0.03, 0.1, 0.3, 1, 3, 10, or 30μg/kg TCDD </w:t>
            </w:r>
            <w:r w:rsidR="00EE10EE" w:rsidRPr="00755293">
              <w:rPr>
                <w:sz w:val="20"/>
                <w:szCs w:val="20"/>
              </w:rPr>
              <w:t xml:space="preserve">by gavage </w:t>
            </w:r>
            <w:r w:rsidR="008604FA" w:rsidRPr="00755293">
              <w:rPr>
                <w:sz w:val="20"/>
                <w:szCs w:val="20"/>
              </w:rPr>
              <w:t>every 4 days for a total of 28 d</w:t>
            </w:r>
            <w:r w:rsidR="00EE10EE" w:rsidRPr="00755293">
              <w:rPr>
                <w:sz w:val="20"/>
                <w:szCs w:val="20"/>
              </w:rPr>
              <w:t>ays)</w:t>
            </w:r>
          </w:p>
        </w:tc>
        <w:tc>
          <w:tcPr>
            <w:tcW w:w="4274"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Increased relative abundance of species in the genera </w:t>
            </w:r>
            <w:r w:rsidRPr="00545FB7">
              <w:rPr>
                <w:rStyle w:val="SubtleReference"/>
                <w:rFonts w:cs="Arial"/>
                <w:i/>
                <w:smallCaps w:val="0"/>
                <w:color w:val="auto"/>
                <w:sz w:val="20"/>
                <w:szCs w:val="20"/>
              </w:rPr>
              <w:t xml:space="preserve">Lactobacillus, Clostridium, Streptococcus </w:t>
            </w:r>
            <w:r w:rsidRPr="00545FB7">
              <w:rPr>
                <w:rStyle w:val="SubtleReference"/>
                <w:rFonts w:cs="Arial"/>
                <w:smallCaps w:val="0"/>
                <w:color w:val="auto"/>
                <w:sz w:val="20"/>
                <w:szCs w:val="20"/>
              </w:rPr>
              <w:t xml:space="preserve">and </w:t>
            </w:r>
            <w:r w:rsidRPr="00545FB7">
              <w:rPr>
                <w:rStyle w:val="SubtleReference"/>
                <w:rFonts w:cs="Arial"/>
                <w:i/>
                <w:smallCaps w:val="0"/>
                <w:color w:val="auto"/>
                <w:sz w:val="20"/>
                <w:szCs w:val="20"/>
              </w:rPr>
              <w:t>Listeria</w:t>
            </w:r>
            <w:r w:rsidRPr="00545FB7">
              <w:rPr>
                <w:rStyle w:val="SubtleReference"/>
                <w:rFonts w:cs="Arial"/>
                <w:smallCaps w:val="0"/>
                <w:color w:val="auto"/>
                <w:sz w:val="20"/>
                <w:szCs w:val="20"/>
              </w:rPr>
              <w:t>.</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Fader </w:t>
            </w:r>
            <w:r w:rsidRPr="00545FB7">
              <w:rPr>
                <w:rStyle w:val="SubtleReference"/>
                <w:rFonts w:cs="Arial"/>
                <w:i/>
                <w:smallCaps w:val="0"/>
                <w:color w:val="auto"/>
                <w:sz w:val="20"/>
                <w:szCs w:val="20"/>
              </w:rPr>
              <w:t xml:space="preserve">et al </w:t>
            </w:r>
            <w:r w:rsidRPr="00545FB7">
              <w:rPr>
                <w:rStyle w:val="SubtleReference"/>
                <w:rFonts w:cs="Arial"/>
                <w:smallCaps w:val="0"/>
                <w:color w:val="auto"/>
                <w:sz w:val="20"/>
                <w:szCs w:val="20"/>
              </w:rPr>
              <w:t>(2017)</w:t>
            </w:r>
          </w:p>
        </w:tc>
      </w:tr>
      <w:tr w:rsidR="00AE2D7F" w:rsidRPr="00545FB7" w:rsidTr="008449DA">
        <w:trPr>
          <w:trHeight w:val="550"/>
        </w:trPr>
        <w:tc>
          <w:tcPr>
            <w:tcW w:w="3568"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C57BL/6 mice (</w:t>
            </w:r>
            <w:r w:rsidRPr="00545FB7">
              <w:rPr>
                <w:rStyle w:val="SubtleReference"/>
                <w:rFonts w:cs="Arial"/>
                <w:i/>
                <w:smallCaps w:val="0"/>
                <w:color w:val="auto"/>
                <w:sz w:val="20"/>
                <w:szCs w:val="20"/>
              </w:rPr>
              <w:t xml:space="preserve">Ahr </w:t>
            </w:r>
            <w:r w:rsidRPr="00545FB7">
              <w:rPr>
                <w:rStyle w:val="SubtleReference"/>
                <w:rFonts w:cs="Arial"/>
                <w:i/>
                <w:smallCaps w:val="0"/>
                <w:color w:val="auto"/>
                <w:sz w:val="20"/>
                <w:szCs w:val="20"/>
                <w:vertAlign w:val="superscript"/>
              </w:rPr>
              <w:t xml:space="preserve">-/- </w:t>
            </w:r>
            <w:r w:rsidRPr="00545FB7">
              <w:rPr>
                <w:rStyle w:val="SubtleReference"/>
                <w:rFonts w:cs="Arial"/>
                <w:smallCaps w:val="0"/>
                <w:color w:val="auto"/>
                <w:sz w:val="20"/>
                <w:szCs w:val="20"/>
              </w:rPr>
              <w:t xml:space="preserve">and </w:t>
            </w:r>
            <w:r w:rsidRPr="00545FB7">
              <w:rPr>
                <w:rStyle w:val="SubtleReference"/>
                <w:rFonts w:cs="Arial"/>
                <w:i/>
                <w:smallCaps w:val="0"/>
                <w:color w:val="auto"/>
                <w:sz w:val="20"/>
                <w:szCs w:val="20"/>
              </w:rPr>
              <w:t xml:space="preserve">Ahr </w:t>
            </w:r>
            <w:r w:rsidRPr="00545FB7">
              <w:rPr>
                <w:rStyle w:val="SubtleReference"/>
                <w:rFonts w:cs="Arial"/>
                <w:i/>
                <w:smallCaps w:val="0"/>
                <w:color w:val="auto"/>
                <w:sz w:val="20"/>
                <w:szCs w:val="20"/>
                <w:vertAlign w:val="superscript"/>
              </w:rPr>
              <w:t>+/+</w:t>
            </w:r>
            <w:r w:rsidRPr="00545FB7">
              <w:rPr>
                <w:rStyle w:val="SubtleReference"/>
                <w:rFonts w:cs="Arial"/>
                <w:smallCaps w:val="0"/>
                <w:color w:val="auto"/>
                <w:sz w:val="20"/>
                <w:szCs w:val="20"/>
              </w:rPr>
              <w:t>)</w:t>
            </w:r>
          </w:p>
        </w:tc>
        <w:tc>
          <w:tcPr>
            <w:tcW w:w="3215"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2,3,7,8-tetrachloribenzofuran (TCDF)</w:t>
            </w:r>
            <w:r w:rsidR="00EE10EE">
              <w:rPr>
                <w:rStyle w:val="SubtleReference"/>
                <w:rFonts w:cs="Arial"/>
                <w:smallCaps w:val="0"/>
                <w:color w:val="auto"/>
                <w:sz w:val="20"/>
                <w:szCs w:val="20"/>
              </w:rPr>
              <w:t xml:space="preserve"> </w:t>
            </w:r>
            <w:r w:rsidR="00EE10EE" w:rsidRPr="00EE10EE">
              <w:rPr>
                <w:rStyle w:val="SubtleReference"/>
                <w:rFonts w:cs="Arial"/>
                <w:sz w:val="20"/>
                <w:szCs w:val="20"/>
              </w:rPr>
              <w:t>(</w:t>
            </w:r>
            <w:r w:rsidR="00EE10EE" w:rsidRPr="00755293">
              <w:rPr>
                <w:rStyle w:val="SubtleReference"/>
                <w:rFonts w:cs="Arial"/>
                <w:smallCaps w:val="0"/>
                <w:sz w:val="20"/>
                <w:szCs w:val="20"/>
              </w:rPr>
              <w:t xml:space="preserve">24 </w:t>
            </w:r>
            <w:r w:rsidR="00EE10EE" w:rsidRPr="00755293">
              <w:rPr>
                <w:rStyle w:val="SubtleReference"/>
                <w:rFonts w:ascii="Symbol" w:hAnsi="Symbol" w:cs="Arial"/>
                <w:smallCaps w:val="0"/>
                <w:sz w:val="20"/>
                <w:szCs w:val="20"/>
              </w:rPr>
              <w:t></w:t>
            </w:r>
            <w:r w:rsidR="00EE10EE" w:rsidRPr="00755293">
              <w:rPr>
                <w:rStyle w:val="SubtleReference"/>
                <w:rFonts w:cs="Arial"/>
                <w:smallCaps w:val="0"/>
                <w:sz w:val="20"/>
                <w:szCs w:val="20"/>
              </w:rPr>
              <w:t>g/kg bw in diet for</w:t>
            </w:r>
            <w:r w:rsidR="00EE10EE" w:rsidRPr="00755293">
              <w:rPr>
                <w:sz w:val="20"/>
                <w:szCs w:val="20"/>
              </w:rPr>
              <w:t xml:space="preserve"> 5 days</w:t>
            </w:r>
            <w:r w:rsidR="00EE10EE" w:rsidRPr="00755293">
              <w:t xml:space="preserve"> </w:t>
            </w:r>
          </w:p>
        </w:tc>
        <w:tc>
          <w:tcPr>
            <w:tcW w:w="4274"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Decreased the </w:t>
            </w:r>
            <w:r w:rsidRPr="00545FB7">
              <w:rPr>
                <w:rStyle w:val="SubtleReference"/>
                <w:rFonts w:cs="Arial"/>
                <w:i/>
                <w:smallCaps w:val="0"/>
                <w:color w:val="auto"/>
                <w:sz w:val="20"/>
                <w:szCs w:val="20"/>
              </w:rPr>
              <w:t>Firmicutes</w:t>
            </w:r>
            <w:r w:rsidRPr="00545FB7">
              <w:rPr>
                <w:rStyle w:val="SubtleReference"/>
                <w:rFonts w:cs="Arial"/>
                <w:smallCaps w:val="0"/>
                <w:color w:val="auto"/>
                <w:sz w:val="20"/>
                <w:szCs w:val="20"/>
              </w:rPr>
              <w:t xml:space="preserve">/ </w:t>
            </w:r>
            <w:r w:rsidRPr="00545FB7">
              <w:rPr>
                <w:rStyle w:val="SubtleReference"/>
                <w:rFonts w:cs="Arial"/>
                <w:i/>
                <w:smallCaps w:val="0"/>
                <w:color w:val="auto"/>
                <w:sz w:val="20"/>
                <w:szCs w:val="20"/>
              </w:rPr>
              <w:t>Bacteroidetes</w:t>
            </w:r>
            <w:r w:rsidRPr="00545FB7">
              <w:rPr>
                <w:rStyle w:val="SubtleReference"/>
                <w:rFonts w:cs="Arial"/>
                <w:smallCaps w:val="0"/>
                <w:color w:val="auto"/>
                <w:sz w:val="20"/>
                <w:szCs w:val="20"/>
              </w:rPr>
              <w:t xml:space="preserve"> ratio without affecting the </w:t>
            </w:r>
            <w:r w:rsidRPr="00545FB7">
              <w:rPr>
                <w:rStyle w:val="SubtleReference"/>
                <w:rFonts w:cs="Arial"/>
                <w:i/>
                <w:smallCaps w:val="0"/>
                <w:color w:val="auto"/>
                <w:sz w:val="20"/>
                <w:szCs w:val="20"/>
              </w:rPr>
              <w:t>Actinobacteria.</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Zhang </w:t>
            </w:r>
            <w:r w:rsidRPr="00545FB7">
              <w:rPr>
                <w:rStyle w:val="SubtleReference"/>
                <w:rFonts w:cs="Arial"/>
                <w:i/>
                <w:smallCaps w:val="0"/>
                <w:color w:val="auto"/>
                <w:sz w:val="20"/>
                <w:szCs w:val="20"/>
              </w:rPr>
              <w:t xml:space="preserve">et al </w:t>
            </w:r>
            <w:r w:rsidRPr="00545FB7">
              <w:rPr>
                <w:rStyle w:val="SubtleReference"/>
                <w:rFonts w:cs="Arial"/>
                <w:smallCaps w:val="0"/>
                <w:color w:val="auto"/>
                <w:sz w:val="20"/>
                <w:szCs w:val="20"/>
              </w:rPr>
              <w:t>(2015)</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Male </w:t>
            </w:r>
            <w:r w:rsidRPr="00545FB7">
              <w:rPr>
                <w:rStyle w:val="SubtleReference"/>
                <w:rFonts w:cs="Arial"/>
                <w:i/>
                <w:smallCaps w:val="0"/>
                <w:color w:val="auto"/>
                <w:sz w:val="20"/>
                <w:szCs w:val="20"/>
              </w:rPr>
              <w:t>Ldtr</w:t>
            </w:r>
            <w:r w:rsidRPr="00545FB7">
              <w:rPr>
                <w:rStyle w:val="SubtleReference"/>
                <w:rFonts w:cs="Arial"/>
                <w:i/>
                <w:smallCaps w:val="0"/>
                <w:color w:val="auto"/>
                <w:sz w:val="20"/>
                <w:szCs w:val="20"/>
                <w:vertAlign w:val="superscript"/>
              </w:rPr>
              <w:t>-/-</w:t>
            </w:r>
            <w:r w:rsidRPr="00545FB7">
              <w:rPr>
                <w:rStyle w:val="SubtleReference"/>
                <w:rFonts w:cs="Arial"/>
                <w:i/>
                <w:smallCaps w:val="0"/>
                <w:color w:val="auto"/>
                <w:sz w:val="20"/>
                <w:szCs w:val="20"/>
              </w:rPr>
              <w:t xml:space="preserve"> </w:t>
            </w:r>
            <w:r w:rsidRPr="00545FB7">
              <w:rPr>
                <w:rStyle w:val="SubtleReference"/>
                <w:rFonts w:cs="Arial"/>
                <w:smallCaps w:val="0"/>
                <w:color w:val="auto"/>
                <w:sz w:val="20"/>
                <w:szCs w:val="20"/>
              </w:rPr>
              <w:t>mice</w:t>
            </w:r>
          </w:p>
        </w:tc>
        <w:tc>
          <w:tcPr>
            <w:tcW w:w="3215" w:type="dxa"/>
          </w:tcPr>
          <w:p w:rsidR="00AE2D7F" w:rsidRPr="00545FB7" w:rsidRDefault="00AE2D7F" w:rsidP="00DD63C3">
            <w:pPr>
              <w:pStyle w:val="ListParagraph"/>
              <w:ind w:left="0"/>
              <w:rPr>
                <w:rFonts w:cs="Arial"/>
                <w:sz w:val="20"/>
                <w:szCs w:val="20"/>
              </w:rPr>
            </w:pPr>
            <w:r>
              <w:rPr>
                <w:rStyle w:val="SubtleReference"/>
                <w:rFonts w:cs="Arial"/>
                <w:smallCaps w:val="0"/>
                <w:color w:val="auto"/>
                <w:sz w:val="20"/>
                <w:szCs w:val="20"/>
              </w:rPr>
              <w:t>P</w:t>
            </w:r>
            <w:r w:rsidRPr="00545FB7">
              <w:rPr>
                <w:rStyle w:val="SubtleReference"/>
                <w:rFonts w:cs="Arial"/>
                <w:smallCaps w:val="0"/>
                <w:color w:val="auto"/>
                <w:sz w:val="20"/>
                <w:szCs w:val="20"/>
              </w:rPr>
              <w:t>olychlorinated biphenyl126 (PCB 126)</w:t>
            </w:r>
            <w:r w:rsidR="000B672A">
              <w:rPr>
                <w:rStyle w:val="SubtleReference"/>
                <w:rFonts w:cs="Arial"/>
                <w:smallCaps w:val="0"/>
                <w:color w:val="auto"/>
                <w:sz w:val="20"/>
                <w:szCs w:val="20"/>
              </w:rPr>
              <w:t xml:space="preserve"> </w:t>
            </w:r>
            <w:r w:rsidR="000B672A" w:rsidRPr="000B672A">
              <w:rPr>
                <w:rStyle w:val="SubtleReference"/>
                <w:rFonts w:cs="Arial"/>
                <w:smallCaps w:val="0"/>
                <w:color w:val="auto"/>
                <w:sz w:val="20"/>
                <w:szCs w:val="20"/>
              </w:rPr>
              <w:t>(</w:t>
            </w:r>
            <w:r w:rsidR="000B672A" w:rsidRPr="00755293">
              <w:rPr>
                <w:sz w:val="20"/>
                <w:szCs w:val="20"/>
              </w:rPr>
              <w:t>1 μmol/kg via oral gavage at weeks 2 and 4</w:t>
            </w:r>
            <w:r w:rsidR="000B672A">
              <w:rPr>
                <w:sz w:val="20"/>
                <w:szCs w:val="20"/>
              </w:rPr>
              <w:t xml:space="preserve"> of a </w:t>
            </w:r>
            <w:proofErr w:type="gramStart"/>
            <w:r w:rsidR="000B672A">
              <w:rPr>
                <w:sz w:val="20"/>
                <w:szCs w:val="20"/>
              </w:rPr>
              <w:t>12 week</w:t>
            </w:r>
            <w:proofErr w:type="gramEnd"/>
            <w:r w:rsidR="000B672A">
              <w:rPr>
                <w:sz w:val="20"/>
                <w:szCs w:val="20"/>
              </w:rPr>
              <w:t xml:space="preserve"> study</w:t>
            </w:r>
            <w:r w:rsidR="000B672A" w:rsidRPr="007702DD">
              <w:rPr>
                <w:sz w:val="20"/>
                <w:szCs w:val="20"/>
              </w:rPr>
              <w:t>.)</w:t>
            </w:r>
          </w:p>
        </w:tc>
        <w:tc>
          <w:tcPr>
            <w:tcW w:w="4274"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Reduced bacterial diversity with reductions in </w:t>
            </w:r>
            <w:r w:rsidRPr="00545FB7">
              <w:rPr>
                <w:rStyle w:val="SubtleReference"/>
                <w:rFonts w:cs="Arial"/>
                <w:i/>
                <w:smallCaps w:val="0"/>
                <w:color w:val="auto"/>
                <w:sz w:val="20"/>
                <w:szCs w:val="20"/>
              </w:rPr>
              <w:t xml:space="preserve">Bifidobacterium, Lactobacillus </w:t>
            </w:r>
            <w:r w:rsidRPr="00545FB7">
              <w:rPr>
                <w:rStyle w:val="SubtleReference"/>
                <w:rFonts w:cs="Arial"/>
                <w:smallCaps w:val="0"/>
                <w:color w:val="auto"/>
                <w:sz w:val="20"/>
                <w:szCs w:val="20"/>
              </w:rPr>
              <w:t>and</w:t>
            </w:r>
            <w:r w:rsidRPr="00545FB7">
              <w:rPr>
                <w:rStyle w:val="SubtleReference"/>
                <w:rFonts w:cs="Arial"/>
                <w:i/>
                <w:smallCaps w:val="0"/>
                <w:color w:val="auto"/>
                <w:sz w:val="20"/>
                <w:szCs w:val="20"/>
              </w:rPr>
              <w:t xml:space="preserve"> Ruminococcus</w:t>
            </w:r>
            <w:r w:rsidRPr="00545FB7">
              <w:rPr>
                <w:rStyle w:val="SubtleReference"/>
                <w:rFonts w:cs="Arial"/>
                <w:smallCaps w:val="0"/>
                <w:color w:val="auto"/>
                <w:sz w:val="20"/>
                <w:szCs w:val="20"/>
              </w:rPr>
              <w:t xml:space="preserve"> but an increase in </w:t>
            </w:r>
            <w:r w:rsidRPr="00545FB7">
              <w:rPr>
                <w:rStyle w:val="SubtleReference"/>
                <w:rFonts w:cs="Arial"/>
                <w:i/>
                <w:smallCaps w:val="0"/>
                <w:color w:val="auto"/>
                <w:sz w:val="20"/>
                <w:szCs w:val="20"/>
              </w:rPr>
              <w:t xml:space="preserve">Akkermansia. </w:t>
            </w:r>
            <w:r w:rsidRPr="00545FB7">
              <w:rPr>
                <w:rStyle w:val="SubtleReference"/>
                <w:rFonts w:cs="Arial"/>
                <w:smallCaps w:val="0"/>
                <w:color w:val="auto"/>
                <w:sz w:val="20"/>
                <w:szCs w:val="20"/>
              </w:rPr>
              <w:t>Inflammatory cytokines were increased,</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(Petriello </w:t>
            </w:r>
            <w:r w:rsidRPr="00545FB7">
              <w:rPr>
                <w:rStyle w:val="SubtleReference"/>
                <w:rFonts w:cs="Arial"/>
                <w:i/>
                <w:smallCaps w:val="0"/>
                <w:color w:val="auto"/>
                <w:sz w:val="20"/>
                <w:szCs w:val="20"/>
              </w:rPr>
              <w:t>et al,</w:t>
            </w:r>
            <w:r w:rsidRPr="00545FB7">
              <w:rPr>
                <w:rStyle w:val="SubtleReference"/>
                <w:rFonts w:cs="Arial"/>
                <w:smallCaps w:val="0"/>
                <w:color w:val="auto"/>
                <w:sz w:val="20"/>
                <w:szCs w:val="20"/>
              </w:rPr>
              <w:t xml:space="preserve"> 2018).</w:t>
            </w:r>
          </w:p>
        </w:tc>
      </w:tr>
      <w:tr w:rsidR="00AE2D7F" w:rsidRPr="00545FB7" w:rsidTr="008449DA">
        <w:tc>
          <w:tcPr>
            <w:tcW w:w="3568" w:type="dxa"/>
          </w:tcPr>
          <w:p w:rsidR="00AE2D7F" w:rsidRPr="00545FB7" w:rsidRDefault="00AE2D7F" w:rsidP="00DD63C3">
            <w:pPr>
              <w:pStyle w:val="ListParagraph"/>
              <w:ind w:left="0"/>
              <w:rPr>
                <w:rFonts w:cs="Arial"/>
                <w:sz w:val="20"/>
                <w:szCs w:val="20"/>
              </w:rPr>
            </w:pPr>
            <w:r>
              <w:rPr>
                <w:rStyle w:val="SubtleReference"/>
                <w:rFonts w:cs="Arial"/>
                <w:smallCaps w:val="0"/>
                <w:color w:val="auto"/>
                <w:sz w:val="20"/>
                <w:szCs w:val="20"/>
              </w:rPr>
              <w:t>F</w:t>
            </w:r>
            <w:r w:rsidRPr="00545FB7">
              <w:rPr>
                <w:rStyle w:val="SubtleReference"/>
                <w:rFonts w:cs="Arial"/>
                <w:smallCaps w:val="0"/>
                <w:color w:val="auto"/>
                <w:sz w:val="20"/>
                <w:szCs w:val="20"/>
              </w:rPr>
              <w:t>emale CD-1 mice</w:t>
            </w:r>
          </w:p>
        </w:tc>
        <w:tc>
          <w:tcPr>
            <w:tcW w:w="3215" w:type="dxa"/>
          </w:tcPr>
          <w:p w:rsidR="00AE2D7F" w:rsidRPr="00545FB7" w:rsidRDefault="00AE2D7F" w:rsidP="00DD63C3">
            <w:pPr>
              <w:pStyle w:val="ListParagraph"/>
              <w:ind w:left="0"/>
              <w:rPr>
                <w:rFonts w:cs="Arial"/>
                <w:sz w:val="20"/>
                <w:szCs w:val="20"/>
              </w:rPr>
            </w:pPr>
            <w:r>
              <w:rPr>
                <w:rStyle w:val="SubtleReference"/>
                <w:rFonts w:cs="Arial"/>
                <w:smallCaps w:val="0"/>
                <w:color w:val="auto"/>
                <w:sz w:val="20"/>
                <w:szCs w:val="20"/>
              </w:rPr>
              <w:t>P</w:t>
            </w:r>
            <w:r w:rsidRPr="00545FB7">
              <w:rPr>
                <w:rStyle w:val="SubtleReference"/>
                <w:rFonts w:cs="Arial"/>
                <w:smallCaps w:val="0"/>
                <w:color w:val="auto"/>
                <w:sz w:val="20"/>
                <w:szCs w:val="20"/>
              </w:rPr>
              <w:t>erfluorooctane sulfonic acid (PFOS)</w:t>
            </w:r>
            <w:r w:rsidR="00720D89">
              <w:rPr>
                <w:rStyle w:val="SubtleReference"/>
                <w:rFonts w:cs="Arial"/>
                <w:smallCaps w:val="0"/>
                <w:color w:val="auto"/>
                <w:sz w:val="20"/>
                <w:szCs w:val="20"/>
              </w:rPr>
              <w:t xml:space="preserve"> </w:t>
            </w:r>
            <w:r w:rsidR="00720D89" w:rsidRPr="00720D89">
              <w:rPr>
                <w:rStyle w:val="SubtleReference"/>
                <w:rFonts w:cs="Arial"/>
                <w:smallCaps w:val="0"/>
                <w:color w:val="auto"/>
                <w:sz w:val="20"/>
                <w:szCs w:val="20"/>
              </w:rPr>
              <w:t>(</w:t>
            </w:r>
            <w:r w:rsidR="00720D89" w:rsidRPr="007702DD">
              <w:rPr>
                <w:sz w:val="20"/>
                <w:szCs w:val="20"/>
              </w:rPr>
              <w:t>0.3 or 3 µg/g/day for 7 weeks.)</w:t>
            </w:r>
          </w:p>
        </w:tc>
        <w:tc>
          <w:tcPr>
            <w:tcW w:w="4274"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No effect on bacterial diversity. Some taxa increased and others decreased. Low-PFOS dose induced increase in the genus </w:t>
            </w:r>
            <w:r w:rsidRPr="00545FB7">
              <w:rPr>
                <w:rStyle w:val="SubtleReference"/>
                <w:rFonts w:cs="Arial"/>
                <w:i/>
                <w:smallCaps w:val="0"/>
                <w:color w:val="auto"/>
                <w:sz w:val="20"/>
                <w:szCs w:val="20"/>
              </w:rPr>
              <w:t>Turicibacter</w:t>
            </w:r>
            <w:r w:rsidRPr="00545FB7">
              <w:rPr>
                <w:rStyle w:val="SubtleReference"/>
                <w:rFonts w:cs="Arial"/>
                <w:smallCaps w:val="0"/>
                <w:color w:val="auto"/>
                <w:sz w:val="20"/>
                <w:szCs w:val="20"/>
              </w:rPr>
              <w:t xml:space="preserve">, The genus </w:t>
            </w:r>
            <w:r w:rsidRPr="00545FB7">
              <w:rPr>
                <w:rStyle w:val="SubtleReference"/>
                <w:rFonts w:cs="Arial"/>
                <w:i/>
                <w:smallCaps w:val="0"/>
                <w:color w:val="auto"/>
                <w:sz w:val="20"/>
                <w:szCs w:val="20"/>
              </w:rPr>
              <w:t>Allobaculum</w:t>
            </w:r>
            <w:r w:rsidRPr="00545FB7">
              <w:rPr>
                <w:rStyle w:val="SubtleReference"/>
                <w:rFonts w:cs="Arial"/>
                <w:smallCaps w:val="0"/>
                <w:color w:val="auto"/>
                <w:sz w:val="20"/>
                <w:szCs w:val="20"/>
              </w:rPr>
              <w:t>, a SCFA-producing genus also increased</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 xml:space="preserve">Lai </w:t>
            </w:r>
            <w:r w:rsidRPr="00545FB7">
              <w:rPr>
                <w:rFonts w:cs="Arial"/>
                <w:i/>
                <w:sz w:val="20"/>
                <w:szCs w:val="20"/>
              </w:rPr>
              <w:t xml:space="preserve">et al </w:t>
            </w:r>
            <w:r w:rsidRPr="00545FB7">
              <w:rPr>
                <w:rFonts w:cs="Arial"/>
                <w:sz w:val="20"/>
                <w:szCs w:val="20"/>
              </w:rPr>
              <w:t>(2018)</w:t>
            </w:r>
          </w:p>
        </w:tc>
      </w:tr>
      <w:tr w:rsidR="00AE2D7F" w:rsidRPr="00545FB7" w:rsidTr="008449DA">
        <w:tc>
          <w:tcPr>
            <w:tcW w:w="3568"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Conventional and germ-free C57BL/6 mice</w:t>
            </w:r>
          </w:p>
        </w:tc>
        <w:tc>
          <w:tcPr>
            <w:tcW w:w="3215" w:type="dxa"/>
          </w:tcPr>
          <w:p w:rsidR="00AE2D7F" w:rsidRPr="00545FB7" w:rsidRDefault="00AE2D7F" w:rsidP="00DD63C3">
            <w:pPr>
              <w:pStyle w:val="ListParagraph"/>
              <w:ind w:left="0"/>
              <w:rPr>
                <w:rStyle w:val="SubtleReference"/>
                <w:rFonts w:cs="Arial"/>
                <w:smallCaps w:val="0"/>
                <w:color w:val="auto"/>
                <w:sz w:val="20"/>
                <w:szCs w:val="20"/>
              </w:rPr>
            </w:pPr>
            <w:r>
              <w:rPr>
                <w:rStyle w:val="SubtleReference"/>
                <w:rFonts w:cs="Arial"/>
                <w:smallCaps w:val="0"/>
                <w:color w:val="auto"/>
                <w:sz w:val="20"/>
                <w:szCs w:val="20"/>
              </w:rPr>
              <w:t>P</w:t>
            </w:r>
            <w:r w:rsidRPr="00545FB7">
              <w:rPr>
                <w:rStyle w:val="SubtleReference"/>
                <w:rFonts w:cs="Arial"/>
                <w:smallCaps w:val="0"/>
                <w:color w:val="auto"/>
                <w:sz w:val="20"/>
                <w:szCs w:val="20"/>
              </w:rPr>
              <w:t>olybrominated diphenyl ethers (PBDE),</w:t>
            </w:r>
            <w:r w:rsidR="00E5411E">
              <w:t xml:space="preserve"> </w:t>
            </w:r>
            <w:r w:rsidR="00E5411E" w:rsidRPr="007702DD">
              <w:rPr>
                <w:sz w:val="20"/>
                <w:szCs w:val="20"/>
              </w:rPr>
              <w:t>(BDE-47 (100 mmol/kg), or BDE-99 (100 mmol/kg) via oral gavage once daily for 4 consecutive days</w:t>
            </w:r>
          </w:p>
        </w:tc>
        <w:tc>
          <w:tcPr>
            <w:tcW w:w="4274"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Metabolism of PBDEs by mouse liver was modified by the presence or absence of gut microbiota</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Li </w:t>
            </w:r>
            <w:r w:rsidRPr="00545FB7">
              <w:rPr>
                <w:rStyle w:val="SubtleReference"/>
                <w:rFonts w:cs="Arial"/>
                <w:i/>
                <w:smallCaps w:val="0"/>
                <w:color w:val="auto"/>
                <w:sz w:val="20"/>
                <w:szCs w:val="20"/>
              </w:rPr>
              <w:t>et al</w:t>
            </w:r>
            <w:r w:rsidRPr="00545FB7">
              <w:rPr>
                <w:rStyle w:val="SubtleReference"/>
                <w:rFonts w:cs="Arial"/>
                <w:smallCaps w:val="0"/>
                <w:color w:val="auto"/>
                <w:sz w:val="20"/>
                <w:szCs w:val="20"/>
              </w:rPr>
              <w:t xml:space="preserve"> (2017)</w:t>
            </w:r>
          </w:p>
        </w:tc>
      </w:tr>
      <w:tr w:rsidR="00AE2D7F" w:rsidRPr="00545FB7" w:rsidTr="008449DA">
        <w:tc>
          <w:tcPr>
            <w:tcW w:w="3568" w:type="dxa"/>
          </w:tcPr>
          <w:p w:rsidR="00AE2D7F" w:rsidRPr="00545FB7" w:rsidRDefault="00AE2D7F" w:rsidP="00DD63C3">
            <w:pPr>
              <w:pStyle w:val="ListParagraph"/>
              <w:ind w:left="0"/>
              <w:rPr>
                <w:rStyle w:val="SubtleReference"/>
                <w:rFonts w:cs="Arial"/>
                <w:smallCaps w:val="0"/>
                <w:color w:val="auto"/>
                <w:sz w:val="20"/>
                <w:szCs w:val="20"/>
              </w:rPr>
            </w:pPr>
            <w:r>
              <w:rPr>
                <w:rStyle w:val="SubtleReference"/>
                <w:rFonts w:cs="Arial"/>
                <w:smallCaps w:val="0"/>
                <w:color w:val="auto"/>
                <w:sz w:val="20"/>
                <w:szCs w:val="20"/>
              </w:rPr>
              <w:t>P</w:t>
            </w:r>
            <w:r w:rsidRPr="00545FB7">
              <w:rPr>
                <w:rStyle w:val="SubtleReference"/>
                <w:rFonts w:cs="Arial"/>
                <w:smallCaps w:val="0"/>
                <w:color w:val="auto"/>
                <w:sz w:val="20"/>
                <w:szCs w:val="20"/>
              </w:rPr>
              <w:t>regnant female ICR mice and their offspring</w:t>
            </w:r>
          </w:p>
        </w:tc>
        <w:tc>
          <w:tcPr>
            <w:tcW w:w="3215" w:type="dxa"/>
          </w:tcPr>
          <w:p w:rsidR="00AE2D7F" w:rsidRPr="00545FB7" w:rsidRDefault="00AE2D7F" w:rsidP="00DD63C3">
            <w:pPr>
              <w:pStyle w:val="ListParagraph"/>
              <w:ind w:left="0"/>
              <w:rPr>
                <w:rStyle w:val="SubtleReference"/>
                <w:rFonts w:cs="Arial"/>
                <w:smallCaps w:val="0"/>
                <w:color w:val="auto"/>
                <w:sz w:val="20"/>
                <w:szCs w:val="20"/>
              </w:rPr>
            </w:pPr>
            <w:r>
              <w:rPr>
                <w:rStyle w:val="SubtleReference"/>
                <w:rFonts w:cs="Arial"/>
                <w:smallCaps w:val="0"/>
                <w:color w:val="auto"/>
                <w:sz w:val="20"/>
                <w:szCs w:val="20"/>
              </w:rPr>
              <w:t>T</w:t>
            </w:r>
            <w:r w:rsidRPr="00545FB7">
              <w:rPr>
                <w:rStyle w:val="SubtleReference"/>
                <w:rFonts w:cs="Arial"/>
                <w:smallCaps w:val="0"/>
                <w:color w:val="auto"/>
                <w:sz w:val="20"/>
                <w:szCs w:val="20"/>
              </w:rPr>
              <w:t>riphenylphosphate (TPHP</w:t>
            </w:r>
            <w:r w:rsidRPr="006E29B1">
              <w:rPr>
                <w:rStyle w:val="SubtleReference"/>
                <w:rFonts w:cs="Arial"/>
                <w:smallCaps w:val="0"/>
                <w:color w:val="auto"/>
                <w:sz w:val="20"/>
                <w:szCs w:val="20"/>
              </w:rPr>
              <w:t>)</w:t>
            </w:r>
            <w:r w:rsidR="006E29B1" w:rsidRPr="007702DD">
              <w:rPr>
                <w:rFonts w:cs="Arial"/>
                <w:color w:val="212121"/>
                <w:sz w:val="20"/>
                <w:szCs w:val="20"/>
                <w:shd w:val="clear" w:color="auto" w:fill="FFFFFF"/>
              </w:rPr>
              <w:t>(10, 100, and1000 μg/kg bw)</w:t>
            </w:r>
          </w:p>
        </w:tc>
        <w:tc>
          <w:tcPr>
            <w:tcW w:w="4274"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 xml:space="preserve">Increased bacterial classes </w:t>
            </w:r>
            <w:r w:rsidRPr="00545FB7">
              <w:rPr>
                <w:rStyle w:val="SubtleReference"/>
                <w:rFonts w:cs="Arial"/>
                <w:i/>
                <w:smallCaps w:val="0"/>
                <w:color w:val="auto"/>
                <w:sz w:val="20"/>
                <w:szCs w:val="20"/>
              </w:rPr>
              <w:t xml:space="preserve">Erysilelotrichia </w:t>
            </w:r>
            <w:r w:rsidRPr="00545FB7">
              <w:rPr>
                <w:rStyle w:val="SubtleReference"/>
                <w:rFonts w:cs="Arial"/>
                <w:smallCaps w:val="0"/>
                <w:color w:val="auto"/>
                <w:sz w:val="20"/>
                <w:szCs w:val="20"/>
              </w:rPr>
              <w:t xml:space="preserve">and </w:t>
            </w:r>
            <w:r w:rsidRPr="00545FB7">
              <w:rPr>
                <w:rStyle w:val="SubtleReference"/>
                <w:rFonts w:cs="Arial"/>
                <w:i/>
                <w:smallCaps w:val="0"/>
                <w:color w:val="auto"/>
                <w:sz w:val="20"/>
                <w:szCs w:val="20"/>
              </w:rPr>
              <w:t>Bacilli</w:t>
            </w:r>
            <w:r w:rsidRPr="00545FB7">
              <w:rPr>
                <w:rStyle w:val="SubtleReference"/>
                <w:rFonts w:cs="Arial"/>
                <w:smallCaps w:val="0"/>
                <w:color w:val="auto"/>
                <w:sz w:val="20"/>
                <w:szCs w:val="20"/>
              </w:rPr>
              <w:t xml:space="preserve"> and decreased </w:t>
            </w:r>
            <w:r w:rsidRPr="00545FB7">
              <w:rPr>
                <w:rStyle w:val="SubtleReference"/>
                <w:rFonts w:cs="Arial"/>
                <w:i/>
                <w:smallCaps w:val="0"/>
                <w:color w:val="auto"/>
                <w:sz w:val="20"/>
                <w:szCs w:val="20"/>
              </w:rPr>
              <w:t>Clostridia</w:t>
            </w:r>
            <w:r w:rsidRPr="00545FB7">
              <w:rPr>
                <w:rStyle w:val="SubtleReference"/>
                <w:rFonts w:cs="Arial"/>
                <w:smallCaps w:val="0"/>
                <w:color w:val="auto"/>
                <w:sz w:val="20"/>
                <w:szCs w:val="20"/>
              </w:rPr>
              <w:t xml:space="preserve">. Genera </w:t>
            </w:r>
            <w:r w:rsidRPr="00545FB7">
              <w:rPr>
                <w:rStyle w:val="SubtleReference"/>
                <w:rFonts w:cs="Arial"/>
                <w:i/>
                <w:smallCaps w:val="0"/>
                <w:color w:val="auto"/>
                <w:sz w:val="20"/>
                <w:szCs w:val="20"/>
              </w:rPr>
              <w:t xml:space="preserve">Allobaculum, Tunicibacter </w:t>
            </w:r>
            <w:r w:rsidRPr="00545FB7">
              <w:rPr>
                <w:rStyle w:val="SubtleReference"/>
                <w:rFonts w:cs="Arial"/>
                <w:smallCaps w:val="0"/>
                <w:color w:val="auto"/>
                <w:sz w:val="20"/>
                <w:szCs w:val="20"/>
              </w:rPr>
              <w:t xml:space="preserve">and </w:t>
            </w:r>
            <w:r w:rsidRPr="00545FB7">
              <w:rPr>
                <w:rStyle w:val="SubtleReference"/>
                <w:rFonts w:cs="Arial"/>
                <w:i/>
                <w:smallCaps w:val="0"/>
                <w:color w:val="auto"/>
                <w:sz w:val="20"/>
                <w:szCs w:val="20"/>
              </w:rPr>
              <w:t>Lactobacillus</w:t>
            </w:r>
            <w:r w:rsidRPr="00545FB7">
              <w:rPr>
                <w:rStyle w:val="SubtleReference"/>
                <w:rFonts w:cs="Arial"/>
                <w:smallCaps w:val="0"/>
                <w:color w:val="auto"/>
                <w:sz w:val="20"/>
                <w:szCs w:val="20"/>
              </w:rPr>
              <w:t xml:space="preserve"> increased. </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Wang </w:t>
            </w:r>
            <w:r w:rsidRPr="00545FB7">
              <w:rPr>
                <w:rStyle w:val="SubtleReference"/>
                <w:rFonts w:cs="Arial"/>
                <w:i/>
                <w:smallCaps w:val="0"/>
                <w:color w:val="auto"/>
                <w:sz w:val="20"/>
                <w:szCs w:val="20"/>
              </w:rPr>
              <w:t>et al</w:t>
            </w:r>
            <w:r w:rsidRPr="00545FB7">
              <w:rPr>
                <w:rStyle w:val="SubtleReference"/>
                <w:rFonts w:cs="Arial"/>
                <w:smallCaps w:val="0"/>
                <w:color w:val="auto"/>
                <w:sz w:val="20"/>
                <w:szCs w:val="20"/>
              </w:rPr>
              <w:t xml:space="preserve"> (2019)</w:t>
            </w:r>
          </w:p>
        </w:tc>
      </w:tr>
      <w:tr w:rsidR="00AE2D7F" w:rsidRPr="00545FB7" w:rsidTr="008449DA">
        <w:tc>
          <w:tcPr>
            <w:tcW w:w="3568" w:type="dxa"/>
          </w:tcPr>
          <w:p w:rsidR="00AE2D7F" w:rsidRPr="00545FB7" w:rsidRDefault="00AE2D7F" w:rsidP="00DD63C3">
            <w:pPr>
              <w:pStyle w:val="ListParagraph"/>
              <w:ind w:left="0"/>
              <w:rPr>
                <w:rStyle w:val="SubtleReference"/>
                <w:rFonts w:cs="Arial"/>
                <w:smallCaps w:val="0"/>
                <w:color w:val="auto"/>
                <w:sz w:val="20"/>
                <w:szCs w:val="20"/>
              </w:rPr>
            </w:pPr>
            <w:r>
              <w:rPr>
                <w:rStyle w:val="SubtleReference"/>
                <w:rFonts w:cs="Arial"/>
                <w:smallCaps w:val="0"/>
                <w:color w:val="auto"/>
                <w:sz w:val="20"/>
                <w:szCs w:val="20"/>
              </w:rPr>
              <w:t>M</w:t>
            </w:r>
            <w:r w:rsidRPr="00545FB7">
              <w:rPr>
                <w:rStyle w:val="SubtleReference"/>
                <w:rFonts w:cs="Arial"/>
                <w:smallCaps w:val="0"/>
                <w:color w:val="auto"/>
                <w:sz w:val="20"/>
                <w:szCs w:val="20"/>
              </w:rPr>
              <w:t>ale C57BL/6 mice</w:t>
            </w:r>
          </w:p>
        </w:tc>
        <w:tc>
          <w:tcPr>
            <w:tcW w:w="3215" w:type="dxa"/>
          </w:tcPr>
          <w:p w:rsidR="00AE2D7F" w:rsidRPr="00545FB7" w:rsidRDefault="00AE2D7F" w:rsidP="00DD63C3">
            <w:pPr>
              <w:pStyle w:val="ListParagraph"/>
              <w:ind w:left="0"/>
              <w:rPr>
                <w:rStyle w:val="SubtleReference"/>
                <w:rFonts w:cs="Arial"/>
                <w:smallCaps w:val="0"/>
                <w:color w:val="auto"/>
                <w:sz w:val="20"/>
                <w:szCs w:val="20"/>
              </w:rPr>
            </w:pPr>
            <w:r>
              <w:rPr>
                <w:rStyle w:val="SubtleReference"/>
                <w:rFonts w:cs="Arial"/>
                <w:smallCaps w:val="0"/>
                <w:color w:val="auto"/>
                <w:sz w:val="20"/>
                <w:szCs w:val="20"/>
              </w:rPr>
              <w:t>M</w:t>
            </w:r>
            <w:r w:rsidRPr="00545FB7">
              <w:rPr>
                <w:rStyle w:val="SubtleReference"/>
                <w:rFonts w:cs="Arial"/>
                <w:smallCaps w:val="0"/>
                <w:color w:val="auto"/>
                <w:sz w:val="20"/>
                <w:szCs w:val="20"/>
              </w:rPr>
              <w:t>ono-2-ethylhexylphthalate ester (MEHP)</w:t>
            </w:r>
            <w:r w:rsidR="0099573C" w:rsidRPr="0099573C">
              <w:rPr>
                <w:rStyle w:val="SubtleReference"/>
                <w:rFonts w:cs="Arial"/>
                <w:smallCaps w:val="0"/>
                <w:color w:val="auto"/>
                <w:sz w:val="20"/>
                <w:szCs w:val="20"/>
              </w:rPr>
              <w:t xml:space="preserve"> </w:t>
            </w:r>
            <w:r w:rsidR="0099573C" w:rsidRPr="0099573C">
              <w:rPr>
                <w:rStyle w:val="SubtleReference"/>
                <w:rFonts w:cs="Arial"/>
                <w:sz w:val="20"/>
                <w:szCs w:val="20"/>
              </w:rPr>
              <w:t>(</w:t>
            </w:r>
            <w:r w:rsidR="0099573C" w:rsidRPr="007702DD">
              <w:rPr>
                <w:rFonts w:cs="Arial"/>
                <w:color w:val="2E2E2E"/>
                <w:sz w:val="20"/>
                <w:szCs w:val="20"/>
              </w:rPr>
              <w:t>0.05 mg/kg bw)</w:t>
            </w:r>
          </w:p>
        </w:tc>
        <w:tc>
          <w:tcPr>
            <w:tcW w:w="4274"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Increase in F</w:t>
            </w:r>
            <w:r w:rsidRPr="00545FB7">
              <w:rPr>
                <w:rStyle w:val="SubtleReference"/>
                <w:rFonts w:cs="Arial"/>
                <w:i/>
                <w:smallCaps w:val="0"/>
                <w:color w:val="auto"/>
                <w:sz w:val="20"/>
                <w:szCs w:val="20"/>
              </w:rPr>
              <w:t>irmicutes</w:t>
            </w:r>
            <w:r w:rsidRPr="00545FB7">
              <w:rPr>
                <w:rStyle w:val="SubtleReference"/>
                <w:rFonts w:cs="Arial"/>
                <w:smallCaps w:val="0"/>
                <w:color w:val="auto"/>
                <w:sz w:val="20"/>
                <w:szCs w:val="20"/>
              </w:rPr>
              <w:t xml:space="preserve">, reduced </w:t>
            </w:r>
            <w:r w:rsidRPr="00545FB7">
              <w:rPr>
                <w:rStyle w:val="SubtleReference"/>
                <w:rFonts w:cs="Arial"/>
                <w:i/>
                <w:smallCaps w:val="0"/>
                <w:color w:val="auto"/>
                <w:sz w:val="20"/>
                <w:szCs w:val="20"/>
              </w:rPr>
              <w:t>Verrucmicrobia</w:t>
            </w:r>
            <w:r w:rsidRPr="00545FB7">
              <w:rPr>
                <w:rStyle w:val="SubtleReference"/>
                <w:rFonts w:cs="Arial"/>
                <w:smallCaps w:val="0"/>
                <w:color w:val="auto"/>
                <w:sz w:val="20"/>
                <w:szCs w:val="20"/>
              </w:rPr>
              <w:t xml:space="preserve"> and increase in the </w:t>
            </w:r>
            <w:r w:rsidRPr="00545FB7">
              <w:rPr>
                <w:rStyle w:val="SubtleReference"/>
                <w:rFonts w:cs="Arial"/>
                <w:i/>
                <w:smallCaps w:val="0"/>
                <w:color w:val="auto"/>
                <w:sz w:val="20"/>
                <w:szCs w:val="20"/>
              </w:rPr>
              <w:t>Firmicutes</w:t>
            </w:r>
            <w:r w:rsidRPr="00545FB7">
              <w:rPr>
                <w:rStyle w:val="SubtleReference"/>
                <w:rFonts w:cs="Arial"/>
                <w:smallCaps w:val="0"/>
                <w:color w:val="auto"/>
                <w:sz w:val="20"/>
                <w:szCs w:val="20"/>
              </w:rPr>
              <w:t>/</w:t>
            </w:r>
            <w:r w:rsidRPr="00545FB7">
              <w:rPr>
                <w:rStyle w:val="SubtleReference"/>
                <w:rFonts w:cs="Arial"/>
                <w:i/>
                <w:smallCaps w:val="0"/>
                <w:color w:val="auto"/>
                <w:sz w:val="20"/>
                <w:szCs w:val="20"/>
              </w:rPr>
              <w:t xml:space="preserve">Bacteroidetes </w:t>
            </w:r>
            <w:r w:rsidRPr="00545FB7">
              <w:rPr>
                <w:rStyle w:val="SubtleReference"/>
                <w:rFonts w:cs="Arial"/>
                <w:smallCaps w:val="0"/>
                <w:color w:val="auto"/>
                <w:sz w:val="20"/>
                <w:szCs w:val="20"/>
              </w:rPr>
              <w:t xml:space="preserve">ratio. Reduced </w:t>
            </w:r>
            <w:r w:rsidRPr="00545FB7">
              <w:rPr>
                <w:rStyle w:val="SubtleReference"/>
                <w:rFonts w:cs="Arial"/>
                <w:i/>
                <w:smallCaps w:val="0"/>
                <w:color w:val="auto"/>
                <w:sz w:val="20"/>
                <w:szCs w:val="20"/>
              </w:rPr>
              <w:t xml:space="preserve">AkkermansiaI </w:t>
            </w:r>
            <w:r w:rsidRPr="00545FB7">
              <w:rPr>
                <w:rStyle w:val="SubtleReference"/>
                <w:rFonts w:cs="Arial"/>
                <w:smallCaps w:val="0"/>
                <w:color w:val="auto"/>
                <w:sz w:val="20"/>
                <w:szCs w:val="20"/>
              </w:rPr>
              <w:t>and</w:t>
            </w:r>
            <w:r w:rsidRPr="00545FB7">
              <w:rPr>
                <w:rStyle w:val="SubtleReference"/>
                <w:rFonts w:cs="Arial"/>
                <w:i/>
                <w:smallCaps w:val="0"/>
                <w:color w:val="auto"/>
                <w:sz w:val="20"/>
                <w:szCs w:val="20"/>
              </w:rPr>
              <w:t xml:space="preserve"> Alloprevotella </w:t>
            </w:r>
            <w:r w:rsidRPr="00545FB7">
              <w:rPr>
                <w:rStyle w:val="SubtleReference"/>
                <w:rFonts w:cs="Arial"/>
                <w:smallCaps w:val="0"/>
                <w:color w:val="auto"/>
                <w:sz w:val="20"/>
                <w:szCs w:val="20"/>
              </w:rPr>
              <w:t xml:space="preserve">genera and increased </w:t>
            </w:r>
            <w:r w:rsidRPr="00545FB7">
              <w:rPr>
                <w:rStyle w:val="SubtleReference"/>
                <w:rFonts w:cs="Arial"/>
                <w:i/>
                <w:smallCaps w:val="0"/>
                <w:color w:val="auto"/>
                <w:sz w:val="20"/>
                <w:szCs w:val="20"/>
              </w:rPr>
              <w:t>Intestinimonas</w:t>
            </w:r>
            <w:r w:rsidRPr="00545FB7">
              <w:rPr>
                <w:rStyle w:val="SubtleReference"/>
                <w:rFonts w:cs="Arial"/>
                <w:smallCaps w:val="0"/>
                <w:color w:val="auto"/>
                <w:sz w:val="20"/>
                <w:szCs w:val="20"/>
              </w:rPr>
              <w:t xml:space="preserve"> and </w:t>
            </w:r>
            <w:r w:rsidRPr="00545FB7">
              <w:rPr>
                <w:rStyle w:val="SubtleReference"/>
                <w:rFonts w:cs="Arial"/>
                <w:i/>
                <w:smallCaps w:val="0"/>
                <w:color w:val="auto"/>
                <w:sz w:val="20"/>
                <w:szCs w:val="20"/>
              </w:rPr>
              <w:t>Coprobacter</w:t>
            </w:r>
            <w:r w:rsidRPr="00545FB7">
              <w:rPr>
                <w:rStyle w:val="SubtleReference"/>
                <w:rFonts w:cs="Arial"/>
                <w:smallCaps w:val="0"/>
                <w:color w:val="auto"/>
                <w:sz w:val="20"/>
                <w:szCs w:val="20"/>
              </w:rPr>
              <w:t>.</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Wang </w:t>
            </w:r>
            <w:r w:rsidRPr="00545FB7">
              <w:rPr>
                <w:rStyle w:val="SubtleReference"/>
                <w:rFonts w:cs="Arial"/>
                <w:i/>
                <w:smallCaps w:val="0"/>
                <w:color w:val="auto"/>
                <w:sz w:val="20"/>
                <w:szCs w:val="20"/>
              </w:rPr>
              <w:t xml:space="preserve">et al </w:t>
            </w:r>
            <w:r w:rsidRPr="00545FB7">
              <w:rPr>
                <w:rStyle w:val="SubtleReference"/>
                <w:rFonts w:cs="Arial"/>
                <w:smallCaps w:val="0"/>
                <w:color w:val="auto"/>
                <w:sz w:val="20"/>
                <w:szCs w:val="20"/>
              </w:rPr>
              <w:t>(2019</w:t>
            </w:r>
          </w:p>
        </w:tc>
      </w:tr>
      <w:tr w:rsidR="00AE2D7F" w:rsidRPr="00545FB7" w:rsidTr="008449DA">
        <w:tc>
          <w:tcPr>
            <w:tcW w:w="3568" w:type="dxa"/>
          </w:tcPr>
          <w:p w:rsidR="00AE2D7F" w:rsidRPr="00545FB7" w:rsidRDefault="00AE2D7F" w:rsidP="00DD63C3">
            <w:pPr>
              <w:pStyle w:val="ListParagraph"/>
              <w:ind w:left="0"/>
              <w:rPr>
                <w:rStyle w:val="SubtleReference"/>
                <w:rFonts w:cs="Arial"/>
                <w:smallCaps w:val="0"/>
                <w:color w:val="auto"/>
                <w:sz w:val="20"/>
                <w:szCs w:val="20"/>
              </w:rPr>
            </w:pPr>
            <w:r>
              <w:rPr>
                <w:rStyle w:val="SubtleReference"/>
                <w:rFonts w:cs="Arial"/>
                <w:smallCaps w:val="0"/>
                <w:color w:val="auto"/>
                <w:sz w:val="20"/>
                <w:szCs w:val="20"/>
              </w:rPr>
              <w:t>M</w:t>
            </w:r>
            <w:r w:rsidRPr="00545FB7">
              <w:rPr>
                <w:rStyle w:val="SubtleReference"/>
                <w:rFonts w:cs="Arial"/>
                <w:smallCaps w:val="0"/>
                <w:color w:val="auto"/>
                <w:sz w:val="20"/>
                <w:szCs w:val="20"/>
              </w:rPr>
              <w:t>ale CD-1 mice</w:t>
            </w:r>
          </w:p>
        </w:tc>
        <w:tc>
          <w:tcPr>
            <w:tcW w:w="3215"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Bisphenol A (BPA)</w:t>
            </w:r>
          </w:p>
        </w:tc>
        <w:tc>
          <w:tcPr>
            <w:tcW w:w="4274"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 xml:space="preserve">The family </w:t>
            </w:r>
            <w:r w:rsidRPr="00545FB7">
              <w:rPr>
                <w:rStyle w:val="SubtleReference"/>
                <w:rFonts w:cs="Arial"/>
                <w:i/>
                <w:smallCaps w:val="0"/>
                <w:color w:val="auto"/>
                <w:sz w:val="20"/>
                <w:szCs w:val="20"/>
              </w:rPr>
              <w:t>Helicobacteriaceae</w:t>
            </w:r>
            <w:r w:rsidRPr="00545FB7">
              <w:rPr>
                <w:rStyle w:val="SubtleReference"/>
                <w:rFonts w:cs="Arial"/>
                <w:smallCaps w:val="0"/>
                <w:color w:val="auto"/>
                <w:sz w:val="20"/>
                <w:szCs w:val="20"/>
              </w:rPr>
              <w:t xml:space="preserve">, markedly increased. </w:t>
            </w:r>
            <w:r w:rsidRPr="00545FB7">
              <w:rPr>
                <w:rStyle w:val="SubtleReference"/>
                <w:rFonts w:cs="Arial"/>
                <w:i/>
                <w:smallCaps w:val="0"/>
                <w:color w:val="auto"/>
                <w:sz w:val="20"/>
                <w:szCs w:val="20"/>
              </w:rPr>
              <w:t>Firmicutes</w:t>
            </w:r>
            <w:r w:rsidRPr="00545FB7">
              <w:rPr>
                <w:rStyle w:val="SubtleReference"/>
                <w:rFonts w:cs="Arial"/>
                <w:smallCaps w:val="0"/>
                <w:color w:val="auto"/>
                <w:sz w:val="20"/>
                <w:szCs w:val="20"/>
              </w:rPr>
              <w:t xml:space="preserve"> was reduced by high fat diet and BPA, and this fall was in the class</w:t>
            </w:r>
            <w:r w:rsidRPr="00545FB7">
              <w:rPr>
                <w:rStyle w:val="SubtleReference"/>
                <w:rFonts w:cs="Arial"/>
                <w:i/>
                <w:smallCaps w:val="0"/>
                <w:color w:val="auto"/>
                <w:sz w:val="20"/>
                <w:szCs w:val="20"/>
              </w:rPr>
              <w:t xml:space="preserve"> Clostridia</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 xml:space="preserve">Lai </w:t>
            </w:r>
            <w:r w:rsidRPr="00545FB7">
              <w:rPr>
                <w:rStyle w:val="SubtleReference"/>
                <w:rFonts w:cs="Arial"/>
                <w:i/>
                <w:smallCaps w:val="0"/>
                <w:color w:val="auto"/>
                <w:sz w:val="20"/>
                <w:szCs w:val="20"/>
              </w:rPr>
              <w:t>et al</w:t>
            </w:r>
            <w:r w:rsidRPr="00545FB7">
              <w:rPr>
                <w:rStyle w:val="SubtleReference"/>
                <w:rFonts w:cs="Arial"/>
                <w:smallCaps w:val="0"/>
                <w:color w:val="auto"/>
                <w:sz w:val="20"/>
                <w:szCs w:val="20"/>
              </w:rPr>
              <w:t>, (2016)</w:t>
            </w:r>
          </w:p>
        </w:tc>
      </w:tr>
      <w:tr w:rsidR="00AE2D7F" w:rsidRPr="00545FB7" w:rsidTr="008449DA">
        <w:tc>
          <w:tcPr>
            <w:tcW w:w="3568" w:type="dxa"/>
          </w:tcPr>
          <w:p w:rsidR="00AE2D7F" w:rsidRPr="00545FB7" w:rsidRDefault="00AE2D7F" w:rsidP="00DD63C3">
            <w:pPr>
              <w:pStyle w:val="ListParagraph"/>
              <w:ind w:left="0"/>
              <w:rPr>
                <w:rStyle w:val="SubtleReference"/>
                <w:rFonts w:cs="Arial"/>
                <w:smallCaps w:val="0"/>
                <w:color w:val="auto"/>
                <w:sz w:val="20"/>
                <w:szCs w:val="20"/>
              </w:rPr>
            </w:pPr>
            <w:r>
              <w:rPr>
                <w:rStyle w:val="SubtleReference"/>
                <w:rFonts w:cs="Arial"/>
                <w:smallCaps w:val="0"/>
                <w:color w:val="auto"/>
                <w:sz w:val="20"/>
                <w:szCs w:val="20"/>
              </w:rPr>
              <w:t>F</w:t>
            </w:r>
            <w:r w:rsidRPr="00545FB7">
              <w:rPr>
                <w:rStyle w:val="SubtleReference"/>
                <w:rFonts w:cs="Arial"/>
                <w:smallCaps w:val="0"/>
                <w:color w:val="auto"/>
                <w:sz w:val="20"/>
                <w:szCs w:val="20"/>
              </w:rPr>
              <w:t>emale California mice</w:t>
            </w:r>
          </w:p>
        </w:tc>
        <w:tc>
          <w:tcPr>
            <w:tcW w:w="3215"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Bisphenol A (BPA)</w:t>
            </w:r>
            <w:r w:rsidR="00E93633">
              <w:rPr>
                <w:rStyle w:val="SubtleReference"/>
                <w:rFonts w:cs="Arial"/>
                <w:smallCaps w:val="0"/>
                <w:color w:val="auto"/>
                <w:sz w:val="20"/>
                <w:szCs w:val="20"/>
              </w:rPr>
              <w:t xml:space="preserve"> (</w:t>
            </w:r>
            <w:r w:rsidR="00B12516">
              <w:rPr>
                <w:rStyle w:val="SubtleReference"/>
                <w:rFonts w:cs="Arial"/>
                <w:smallCaps w:val="0"/>
                <w:color w:val="auto"/>
                <w:sz w:val="20"/>
                <w:szCs w:val="20"/>
              </w:rPr>
              <w:t>50 mg/kg feed)</w:t>
            </w:r>
          </w:p>
        </w:tc>
        <w:tc>
          <w:tcPr>
            <w:tcW w:w="4274" w:type="dxa"/>
          </w:tcPr>
          <w:p w:rsidR="00AE2D7F" w:rsidRPr="00545FB7" w:rsidRDefault="00AE2D7F" w:rsidP="00DD63C3">
            <w:pPr>
              <w:pStyle w:val="ListParagraph"/>
              <w:ind w:left="0"/>
              <w:rPr>
                <w:rStyle w:val="SubtleReference"/>
                <w:rFonts w:cs="Arial"/>
                <w:smallCaps w:val="0"/>
                <w:color w:val="auto"/>
                <w:sz w:val="20"/>
                <w:szCs w:val="20"/>
              </w:rPr>
            </w:pPr>
            <w:r w:rsidRPr="00545FB7">
              <w:rPr>
                <w:rStyle w:val="SubtleReference"/>
                <w:rFonts w:cs="Arial"/>
                <w:smallCaps w:val="0"/>
                <w:color w:val="auto"/>
                <w:sz w:val="20"/>
                <w:szCs w:val="20"/>
              </w:rPr>
              <w:t xml:space="preserve">Increases in  </w:t>
            </w:r>
            <w:r w:rsidRPr="00545FB7">
              <w:rPr>
                <w:rStyle w:val="SubtleReference"/>
                <w:rFonts w:cs="Arial"/>
                <w:i/>
                <w:smallCaps w:val="0"/>
                <w:color w:val="auto"/>
                <w:sz w:val="20"/>
                <w:szCs w:val="20"/>
              </w:rPr>
              <w:t xml:space="preserve">Bacteroides, Mollicutes, Prevotellaceae </w:t>
            </w:r>
            <w:r w:rsidRPr="00545FB7">
              <w:rPr>
                <w:rStyle w:val="SubtleReference"/>
                <w:rFonts w:cs="Arial"/>
                <w:smallCaps w:val="0"/>
                <w:color w:val="auto"/>
                <w:sz w:val="20"/>
                <w:szCs w:val="20"/>
              </w:rPr>
              <w:t xml:space="preserve">and </w:t>
            </w:r>
            <w:r w:rsidRPr="00545FB7">
              <w:rPr>
                <w:rStyle w:val="SubtleReference"/>
                <w:rFonts w:cs="Arial"/>
                <w:i/>
                <w:smallCaps w:val="0"/>
                <w:color w:val="auto"/>
                <w:sz w:val="20"/>
                <w:szCs w:val="20"/>
              </w:rPr>
              <w:t>Sutterella</w:t>
            </w:r>
            <w:r w:rsidRPr="00545FB7">
              <w:rPr>
                <w:rStyle w:val="SubtleReference"/>
                <w:rFonts w:cs="Arial"/>
                <w:smallCaps w:val="0"/>
                <w:color w:val="auto"/>
                <w:sz w:val="20"/>
                <w:szCs w:val="20"/>
              </w:rPr>
              <w:t xml:space="preserve">) in males and females in parents. Increase in </w:t>
            </w:r>
            <w:r w:rsidRPr="00545FB7">
              <w:rPr>
                <w:rStyle w:val="SubtleReference"/>
                <w:rFonts w:cs="Arial"/>
                <w:i/>
                <w:smallCaps w:val="0"/>
                <w:color w:val="auto"/>
                <w:sz w:val="20"/>
                <w:szCs w:val="20"/>
              </w:rPr>
              <w:t>Bifidobacterium</w:t>
            </w:r>
            <w:r w:rsidRPr="00545FB7">
              <w:rPr>
                <w:rStyle w:val="SubtleReference"/>
                <w:rFonts w:cs="Arial"/>
                <w:smallCaps w:val="0"/>
                <w:color w:val="auto"/>
                <w:sz w:val="20"/>
                <w:szCs w:val="20"/>
              </w:rPr>
              <w:t xml:space="preserve"> in F1 females</w:t>
            </w:r>
          </w:p>
        </w:tc>
        <w:tc>
          <w:tcPr>
            <w:tcW w:w="2896" w:type="dxa"/>
          </w:tcPr>
          <w:p w:rsidR="00AE2D7F" w:rsidRPr="00545FB7" w:rsidRDefault="00AE2D7F" w:rsidP="00DD63C3">
            <w:pPr>
              <w:pStyle w:val="ListParagraph"/>
              <w:ind w:left="0"/>
              <w:rPr>
                <w:rFonts w:cs="Arial"/>
                <w:sz w:val="20"/>
                <w:szCs w:val="20"/>
              </w:rPr>
            </w:pPr>
            <w:r w:rsidRPr="00545FB7">
              <w:rPr>
                <w:rStyle w:val="SubtleReference"/>
                <w:rFonts w:cs="Arial"/>
                <w:smallCaps w:val="0"/>
                <w:color w:val="auto"/>
                <w:sz w:val="20"/>
                <w:szCs w:val="20"/>
              </w:rPr>
              <w:t>Javurek</w:t>
            </w:r>
            <w:r w:rsidRPr="00545FB7">
              <w:rPr>
                <w:rStyle w:val="SubtleReference"/>
                <w:rFonts w:cs="Arial"/>
                <w:i/>
                <w:smallCaps w:val="0"/>
                <w:color w:val="auto"/>
                <w:sz w:val="20"/>
                <w:szCs w:val="20"/>
              </w:rPr>
              <w:t xml:space="preserve"> et al</w:t>
            </w:r>
            <w:r w:rsidRPr="00545FB7">
              <w:rPr>
                <w:rStyle w:val="SubtleReference"/>
                <w:rFonts w:cs="Arial"/>
                <w:smallCaps w:val="0"/>
                <w:color w:val="auto"/>
                <w:sz w:val="20"/>
                <w:szCs w:val="20"/>
              </w:rPr>
              <w:t xml:space="preserve"> (2016)</w:t>
            </w:r>
          </w:p>
        </w:tc>
      </w:tr>
      <w:tr w:rsidR="00AE2D7F" w:rsidRPr="00545FB7" w:rsidTr="008449DA">
        <w:tc>
          <w:tcPr>
            <w:tcW w:w="3568" w:type="dxa"/>
          </w:tcPr>
          <w:p w:rsidR="00AE2D7F" w:rsidRPr="00545FB7" w:rsidRDefault="00AE2D7F" w:rsidP="00DD63C3">
            <w:pPr>
              <w:pStyle w:val="ListParagraph"/>
              <w:ind w:left="0"/>
              <w:rPr>
                <w:rStyle w:val="SubtleReference"/>
                <w:rFonts w:cs="Arial"/>
                <w:smallCaps w:val="0"/>
                <w:color w:val="auto"/>
                <w:sz w:val="20"/>
                <w:szCs w:val="20"/>
              </w:rPr>
            </w:pPr>
            <w:r w:rsidRPr="00545FB7">
              <w:rPr>
                <w:rFonts w:cs="Arial"/>
                <w:sz w:val="20"/>
                <w:szCs w:val="20"/>
              </w:rPr>
              <w:t>ICR mice</w:t>
            </w:r>
          </w:p>
        </w:tc>
        <w:tc>
          <w:tcPr>
            <w:tcW w:w="3215" w:type="dxa"/>
          </w:tcPr>
          <w:p w:rsidR="00AE2D7F" w:rsidRPr="00545FB7" w:rsidRDefault="00AE2D7F" w:rsidP="00DD63C3">
            <w:pPr>
              <w:pStyle w:val="ListParagraph"/>
              <w:ind w:left="0"/>
              <w:rPr>
                <w:rStyle w:val="SubtleReference"/>
                <w:rFonts w:cs="Arial"/>
                <w:smallCaps w:val="0"/>
                <w:color w:val="auto"/>
                <w:sz w:val="20"/>
                <w:szCs w:val="20"/>
              </w:rPr>
            </w:pPr>
            <w:r>
              <w:rPr>
                <w:rFonts w:cs="Arial"/>
                <w:sz w:val="20"/>
                <w:szCs w:val="20"/>
              </w:rPr>
              <w:t>P</w:t>
            </w:r>
            <w:r w:rsidRPr="00545FB7">
              <w:rPr>
                <w:rFonts w:cs="Arial"/>
                <w:sz w:val="20"/>
                <w:szCs w:val="20"/>
              </w:rPr>
              <w:t>olystyrene microplastic (MP) particles</w:t>
            </w:r>
            <w:r w:rsidR="00B12516">
              <w:rPr>
                <w:rFonts w:cs="Arial"/>
                <w:sz w:val="20"/>
                <w:szCs w:val="20"/>
              </w:rPr>
              <w:t xml:space="preserve"> </w:t>
            </w:r>
            <w:r w:rsidR="00B12516" w:rsidRPr="007702DD">
              <w:rPr>
                <w:rFonts w:cs="Arial"/>
                <w:sz w:val="20"/>
                <w:szCs w:val="20"/>
              </w:rPr>
              <w:t>(</w:t>
            </w:r>
            <w:r w:rsidR="00B12516" w:rsidRPr="007702DD">
              <w:rPr>
                <w:rFonts w:cs="Arial"/>
                <w:color w:val="212121"/>
                <w:sz w:val="20"/>
                <w:szCs w:val="20"/>
                <w:shd w:val="clear" w:color="auto" w:fill="FFFFFF"/>
              </w:rPr>
              <w:t>oral exposure to 1000 μg/L of 0.5 and 50 μm polystyrene MP)</w:t>
            </w:r>
          </w:p>
        </w:tc>
        <w:tc>
          <w:tcPr>
            <w:tcW w:w="4274" w:type="dxa"/>
          </w:tcPr>
          <w:p w:rsidR="00AE2D7F" w:rsidRPr="00545FB7" w:rsidRDefault="00AE2D7F" w:rsidP="00DD63C3">
            <w:pPr>
              <w:pStyle w:val="ListParagraph"/>
              <w:ind w:left="0"/>
              <w:rPr>
                <w:rStyle w:val="SubtleReference"/>
                <w:rFonts w:cs="Arial"/>
                <w:smallCaps w:val="0"/>
                <w:color w:val="auto"/>
                <w:sz w:val="20"/>
                <w:szCs w:val="20"/>
              </w:rPr>
            </w:pPr>
            <w:r w:rsidRPr="00545FB7">
              <w:rPr>
                <w:rFonts w:cs="Arial"/>
                <w:sz w:val="20"/>
                <w:szCs w:val="20"/>
              </w:rPr>
              <w:t xml:space="preserve">Reduced the caecal abundance of </w:t>
            </w:r>
            <w:r w:rsidRPr="00545FB7">
              <w:rPr>
                <w:rFonts w:cs="Arial"/>
                <w:i/>
                <w:sz w:val="20"/>
                <w:szCs w:val="20"/>
              </w:rPr>
              <w:t xml:space="preserve">Firmicutes, Actinobacteria </w:t>
            </w:r>
            <w:r w:rsidRPr="00545FB7">
              <w:rPr>
                <w:rFonts w:cs="Arial"/>
                <w:sz w:val="20"/>
                <w:szCs w:val="20"/>
              </w:rPr>
              <w:t>and</w:t>
            </w:r>
            <w:r w:rsidRPr="00545FB7">
              <w:rPr>
                <w:rFonts w:cs="Arial"/>
                <w:i/>
                <w:sz w:val="20"/>
                <w:szCs w:val="20"/>
              </w:rPr>
              <w:t xml:space="preserve"> </w:t>
            </w:r>
            <w:r w:rsidRPr="00545FB7">
              <w:rPr>
                <w:rFonts w:cs="Arial"/>
                <w:i/>
                <w:sz w:val="20"/>
                <w:szCs w:val="20"/>
              </w:rPr>
              <w:t xml:space="preserve">-Proteobacteria, </w:t>
            </w:r>
            <w:r w:rsidRPr="00545FB7">
              <w:rPr>
                <w:rFonts w:cs="Arial"/>
                <w:sz w:val="20"/>
                <w:szCs w:val="20"/>
              </w:rPr>
              <w:t>with a downward trend in</w:t>
            </w:r>
            <w:r w:rsidRPr="00545FB7">
              <w:rPr>
                <w:rFonts w:cs="Arial"/>
                <w:i/>
                <w:sz w:val="20"/>
                <w:szCs w:val="20"/>
              </w:rPr>
              <w:t xml:space="preserve"> Bacteroidetes</w:t>
            </w:r>
            <w:r w:rsidRPr="00545FB7">
              <w:rPr>
                <w:rFonts w:cs="Arial"/>
                <w:sz w:val="20"/>
                <w:szCs w:val="20"/>
              </w:rPr>
              <w:t xml:space="preserve">,. increase in </w:t>
            </w:r>
            <w:r w:rsidRPr="00545FB7">
              <w:rPr>
                <w:rFonts w:cs="Arial"/>
                <w:i/>
                <w:sz w:val="20"/>
                <w:szCs w:val="20"/>
              </w:rPr>
              <w:t>Proteobacteria</w:t>
            </w:r>
            <w:r w:rsidRPr="00545FB7">
              <w:rPr>
                <w:rFonts w:cs="Arial"/>
                <w:sz w:val="20"/>
                <w:szCs w:val="20"/>
              </w:rPr>
              <w:t xml:space="preserve"> and Actinobacteria by 16S rRNA gene sequencing</w:t>
            </w:r>
          </w:p>
        </w:tc>
        <w:tc>
          <w:tcPr>
            <w:tcW w:w="2896" w:type="dxa"/>
          </w:tcPr>
          <w:p w:rsidR="00AE2D7F" w:rsidRPr="00545FB7" w:rsidRDefault="00AE2D7F" w:rsidP="00DD63C3">
            <w:pPr>
              <w:pStyle w:val="ListParagraph"/>
              <w:ind w:left="0"/>
              <w:rPr>
                <w:rFonts w:cs="Arial"/>
                <w:sz w:val="20"/>
                <w:szCs w:val="20"/>
              </w:rPr>
            </w:pPr>
            <w:r w:rsidRPr="00545FB7">
              <w:rPr>
                <w:rFonts w:cs="Arial"/>
                <w:sz w:val="20"/>
                <w:szCs w:val="20"/>
              </w:rPr>
              <w:t xml:space="preserve">Lu </w:t>
            </w:r>
            <w:r w:rsidRPr="00545FB7">
              <w:rPr>
                <w:rFonts w:cs="Arial"/>
                <w:i/>
                <w:sz w:val="20"/>
                <w:szCs w:val="20"/>
              </w:rPr>
              <w:t xml:space="preserve">et al </w:t>
            </w:r>
            <w:r w:rsidRPr="00545FB7">
              <w:rPr>
                <w:rFonts w:cs="Arial"/>
                <w:sz w:val="20"/>
                <w:szCs w:val="20"/>
              </w:rPr>
              <w:t>(2018)</w:t>
            </w:r>
          </w:p>
        </w:tc>
      </w:tr>
      <w:tr w:rsidR="00B820BD" w:rsidRPr="00545FB7" w:rsidTr="008449DA">
        <w:tc>
          <w:tcPr>
            <w:tcW w:w="3568" w:type="dxa"/>
          </w:tcPr>
          <w:p w:rsidR="00B820BD" w:rsidRPr="00B820BD" w:rsidRDefault="00B820BD" w:rsidP="00DD63C3">
            <w:pPr>
              <w:pStyle w:val="ListParagraph"/>
              <w:ind w:left="0"/>
              <w:rPr>
                <w:rFonts w:cs="Arial"/>
                <w:sz w:val="20"/>
                <w:szCs w:val="20"/>
              </w:rPr>
            </w:pPr>
            <w:r w:rsidRPr="00B820BD">
              <w:rPr>
                <w:rFonts w:ascii="ArialMT" w:eastAsia="Times New Roman" w:hAnsi="ArialMT"/>
                <w:color w:val="000000"/>
                <w:sz w:val="20"/>
                <w:szCs w:val="20"/>
              </w:rPr>
              <w:t>Male C57BL/6 mice</w:t>
            </w:r>
          </w:p>
        </w:tc>
        <w:tc>
          <w:tcPr>
            <w:tcW w:w="3215" w:type="dxa"/>
          </w:tcPr>
          <w:p w:rsidR="00B820BD" w:rsidRPr="00B820BD" w:rsidRDefault="00B820BD" w:rsidP="00DD63C3">
            <w:pPr>
              <w:pStyle w:val="ListParagraph"/>
              <w:ind w:left="0"/>
              <w:rPr>
                <w:rFonts w:cs="Arial"/>
                <w:sz w:val="20"/>
                <w:szCs w:val="20"/>
              </w:rPr>
            </w:pPr>
            <w:r w:rsidRPr="00B820BD">
              <w:rPr>
                <w:rFonts w:ascii="ArialMT" w:eastAsia="Times New Roman" w:hAnsi="ArialMT"/>
                <w:color w:val="000000"/>
                <w:sz w:val="20"/>
                <w:szCs w:val="20"/>
              </w:rPr>
              <w:t>The ionic liquid 1 octyl 3 methylimidazolium chloride [C8mim, M8OI]</w:t>
            </w:r>
            <w:r w:rsidR="00B12516">
              <w:rPr>
                <w:rFonts w:ascii="ArialMT" w:eastAsia="Times New Roman" w:hAnsi="ArialMT"/>
                <w:color w:val="000000"/>
                <w:sz w:val="20"/>
                <w:szCs w:val="20"/>
              </w:rPr>
              <w:t xml:space="preserve"> </w:t>
            </w:r>
            <w:r w:rsidR="00B12516" w:rsidRPr="007702DD">
              <w:rPr>
                <w:rFonts w:ascii="ArialMT" w:eastAsia="Times New Roman" w:hAnsi="ArialMT"/>
                <w:color w:val="000000"/>
                <w:sz w:val="20"/>
                <w:szCs w:val="20"/>
              </w:rPr>
              <w:t>(440 mg/l in drinking water for 18 weeks)</w:t>
            </w:r>
          </w:p>
        </w:tc>
        <w:tc>
          <w:tcPr>
            <w:tcW w:w="4274" w:type="dxa"/>
          </w:tcPr>
          <w:p w:rsidR="00B820BD" w:rsidRPr="00B820BD" w:rsidRDefault="00B820BD" w:rsidP="00DD63C3">
            <w:pPr>
              <w:pStyle w:val="ListParagraph"/>
              <w:ind w:left="0"/>
              <w:rPr>
                <w:rFonts w:cs="Arial"/>
                <w:sz w:val="20"/>
                <w:szCs w:val="20"/>
              </w:rPr>
            </w:pPr>
            <w:r w:rsidRPr="00B820BD">
              <w:rPr>
                <w:rFonts w:ascii="ArialMT" w:eastAsia="Times New Roman" w:hAnsi="ArialMT"/>
                <w:color w:val="000000"/>
                <w:sz w:val="20"/>
                <w:szCs w:val="20"/>
              </w:rPr>
              <w:t>Reduced relative abundance of Parasutterella, greater relative abundance of genera belonging to the Lachnospiraceae.  Coriobacteriaceae spp. significantly increased.</w:t>
            </w:r>
          </w:p>
        </w:tc>
        <w:tc>
          <w:tcPr>
            <w:tcW w:w="2896" w:type="dxa"/>
          </w:tcPr>
          <w:p w:rsidR="00B820BD" w:rsidRPr="00B820BD" w:rsidRDefault="00B820BD" w:rsidP="00DD63C3">
            <w:pPr>
              <w:pStyle w:val="ListParagraph"/>
              <w:ind w:left="0"/>
              <w:rPr>
                <w:rFonts w:cs="Arial"/>
                <w:sz w:val="20"/>
                <w:szCs w:val="20"/>
              </w:rPr>
            </w:pPr>
            <w:r w:rsidRPr="00B820BD">
              <w:rPr>
                <w:rFonts w:ascii="ArialMT" w:eastAsia="Times New Roman" w:hAnsi="ArialMT"/>
                <w:color w:val="000000"/>
                <w:sz w:val="20"/>
                <w:szCs w:val="20"/>
              </w:rPr>
              <w:t>Young et al., 2020</w:t>
            </w:r>
          </w:p>
        </w:tc>
      </w:tr>
      <w:tr w:rsidR="00B820BD" w:rsidRPr="00545FB7" w:rsidTr="008449DA">
        <w:tc>
          <w:tcPr>
            <w:tcW w:w="3568" w:type="dxa"/>
          </w:tcPr>
          <w:p w:rsidR="00B820BD" w:rsidRPr="00B820BD" w:rsidRDefault="00B820BD" w:rsidP="00B820BD">
            <w:pPr>
              <w:shd w:val="clear" w:color="auto" w:fill="FFFFFF"/>
              <w:rPr>
                <w:rFonts w:ascii="Calibri" w:eastAsia="Times New Roman" w:hAnsi="Calibri"/>
                <w:color w:val="000000"/>
                <w:sz w:val="20"/>
                <w:szCs w:val="20"/>
              </w:rPr>
            </w:pPr>
            <w:r w:rsidRPr="00B820BD">
              <w:rPr>
                <w:rFonts w:ascii="ArialMT" w:eastAsia="Times New Roman" w:hAnsi="ArialMT"/>
                <w:color w:val="000000"/>
                <w:sz w:val="20"/>
                <w:szCs w:val="20"/>
              </w:rPr>
              <w:t>Male C57BL/6 mice</w:t>
            </w:r>
          </w:p>
          <w:p w:rsidR="00B820BD" w:rsidRPr="00B820BD" w:rsidRDefault="00B820BD" w:rsidP="00DD63C3">
            <w:pPr>
              <w:pStyle w:val="ListParagraph"/>
              <w:ind w:left="0"/>
              <w:rPr>
                <w:rFonts w:cs="Arial"/>
                <w:sz w:val="20"/>
                <w:szCs w:val="20"/>
              </w:rPr>
            </w:pPr>
          </w:p>
        </w:tc>
        <w:tc>
          <w:tcPr>
            <w:tcW w:w="3215" w:type="dxa"/>
          </w:tcPr>
          <w:p w:rsidR="00B820BD" w:rsidRPr="00B820BD" w:rsidRDefault="00B820BD" w:rsidP="00DD63C3">
            <w:pPr>
              <w:pStyle w:val="ListParagraph"/>
              <w:ind w:left="0"/>
              <w:rPr>
                <w:rFonts w:cs="Arial"/>
                <w:sz w:val="20"/>
                <w:szCs w:val="20"/>
              </w:rPr>
            </w:pPr>
            <w:r w:rsidRPr="00B820BD">
              <w:rPr>
                <w:rFonts w:ascii="ArialMT" w:eastAsia="Times New Roman" w:hAnsi="ArialMT"/>
                <w:color w:val="000000"/>
                <w:sz w:val="20"/>
                <w:szCs w:val="20"/>
              </w:rPr>
              <w:t>The ionic liquid 1 butyl 3 methylimidazolium chloride [C4mim, BMI]</w:t>
            </w:r>
            <w:r w:rsidR="00B12516">
              <w:rPr>
                <w:rFonts w:ascii="ArialMT" w:eastAsia="Times New Roman" w:hAnsi="ArialMT"/>
                <w:color w:val="000000"/>
                <w:sz w:val="20"/>
                <w:szCs w:val="20"/>
              </w:rPr>
              <w:t xml:space="preserve"> </w:t>
            </w:r>
            <w:r w:rsidR="00B12516" w:rsidRPr="007702DD">
              <w:rPr>
                <w:rFonts w:ascii="ArialMT" w:eastAsia="Times New Roman" w:hAnsi="ArialMT"/>
                <w:color w:val="000000"/>
                <w:sz w:val="20"/>
                <w:szCs w:val="20"/>
              </w:rPr>
              <w:t>(440 mg/l in drinking water for 18 weeks)</w:t>
            </w:r>
          </w:p>
        </w:tc>
        <w:tc>
          <w:tcPr>
            <w:tcW w:w="4274" w:type="dxa"/>
          </w:tcPr>
          <w:p w:rsidR="00B820BD" w:rsidRPr="00B820BD" w:rsidRDefault="00B820BD" w:rsidP="00B820BD">
            <w:pPr>
              <w:shd w:val="clear" w:color="auto" w:fill="FFFFFF"/>
              <w:rPr>
                <w:rFonts w:ascii="Calibri" w:eastAsia="Times New Roman" w:hAnsi="Calibri"/>
                <w:color w:val="000000"/>
                <w:sz w:val="20"/>
                <w:szCs w:val="20"/>
              </w:rPr>
            </w:pPr>
            <w:r w:rsidRPr="00B820BD">
              <w:rPr>
                <w:rFonts w:ascii="ArialMT" w:eastAsia="Times New Roman" w:hAnsi="ArialMT"/>
                <w:color w:val="000000"/>
                <w:sz w:val="20"/>
                <w:szCs w:val="20"/>
                <w:shd w:val="clear" w:color="auto" w:fill="FFFFFF"/>
              </w:rPr>
              <w:t>Reduced relative abundance of Parasutterella, </w:t>
            </w:r>
            <w:r w:rsidRPr="00B820BD">
              <w:rPr>
                <w:rFonts w:ascii="ArialMT" w:eastAsia="Times New Roman" w:hAnsi="ArialMT"/>
                <w:color w:val="000000"/>
                <w:sz w:val="20"/>
                <w:szCs w:val="20"/>
              </w:rPr>
              <w:t>greater relative abundance of genera belonging to the Lachnospiraceae.  Ruminococcaceae exhibited a 25.64</w:t>
            </w:r>
            <w:r w:rsidR="009D7BCC">
              <w:rPr>
                <w:rFonts w:ascii="ArialMT" w:eastAsia="Times New Roman" w:hAnsi="ArialMT"/>
                <w:color w:val="000000"/>
                <w:sz w:val="20"/>
                <w:szCs w:val="20"/>
              </w:rPr>
              <w:t>-</w:t>
            </w:r>
            <w:r w:rsidRPr="00B820BD">
              <w:rPr>
                <w:rFonts w:ascii="ArialMT" w:eastAsia="Times New Roman" w:hAnsi="ArialMT"/>
                <w:color w:val="000000"/>
                <w:sz w:val="20"/>
                <w:szCs w:val="20"/>
              </w:rPr>
              <w:t>fold decrease following BMI exposure.</w:t>
            </w:r>
          </w:p>
          <w:p w:rsidR="00B820BD" w:rsidRPr="00B820BD" w:rsidRDefault="00B820BD" w:rsidP="00DD63C3">
            <w:pPr>
              <w:pStyle w:val="ListParagraph"/>
              <w:ind w:left="0"/>
              <w:rPr>
                <w:rFonts w:cs="Arial"/>
                <w:sz w:val="20"/>
                <w:szCs w:val="20"/>
              </w:rPr>
            </w:pPr>
          </w:p>
        </w:tc>
        <w:tc>
          <w:tcPr>
            <w:tcW w:w="2896" w:type="dxa"/>
          </w:tcPr>
          <w:p w:rsidR="00B820BD" w:rsidRPr="00B820BD" w:rsidRDefault="00B820BD" w:rsidP="00B820BD">
            <w:pPr>
              <w:shd w:val="clear" w:color="auto" w:fill="FFFFFF"/>
              <w:rPr>
                <w:rFonts w:ascii="Calibri" w:eastAsia="Times New Roman" w:hAnsi="Calibri"/>
                <w:color w:val="000000"/>
                <w:sz w:val="20"/>
                <w:szCs w:val="20"/>
              </w:rPr>
            </w:pPr>
            <w:r w:rsidRPr="00B820BD">
              <w:rPr>
                <w:rFonts w:ascii="ArialMT" w:eastAsia="Times New Roman" w:hAnsi="ArialMT"/>
                <w:color w:val="000000"/>
                <w:sz w:val="20"/>
                <w:szCs w:val="20"/>
              </w:rPr>
              <w:t>Young et al., 2020</w:t>
            </w:r>
          </w:p>
          <w:p w:rsidR="00B820BD" w:rsidRPr="00B820BD" w:rsidRDefault="00B820BD" w:rsidP="00DD63C3">
            <w:pPr>
              <w:pStyle w:val="ListParagraph"/>
              <w:ind w:left="0"/>
              <w:rPr>
                <w:rFonts w:cs="Arial"/>
                <w:sz w:val="20"/>
                <w:szCs w:val="20"/>
              </w:rPr>
            </w:pPr>
          </w:p>
        </w:tc>
      </w:tr>
    </w:tbl>
    <w:p w:rsidR="00B820BD" w:rsidRDefault="00B820BD" w:rsidP="00B820BD">
      <w:pPr>
        <w:shd w:val="clear" w:color="auto" w:fill="FFFFFF"/>
        <w:rPr>
          <w:rFonts w:ascii="ArialMT" w:eastAsia="Times New Roman" w:hAnsi="ArialMT"/>
          <w:color w:val="000000"/>
          <w:szCs w:val="24"/>
        </w:rPr>
      </w:pPr>
      <w:r>
        <w:rPr>
          <w:rFonts w:ascii="ArialMT" w:eastAsia="Times New Roman" w:hAnsi="ArialMT"/>
          <w:color w:val="000000"/>
          <w:szCs w:val="24"/>
        </w:rPr>
        <w:br/>
      </w:r>
    </w:p>
    <w:p w:rsidR="00B820BD" w:rsidRDefault="00B820BD" w:rsidP="008449DA">
      <w:pPr>
        <w:shd w:val="clear" w:color="auto" w:fill="FFFFFF"/>
        <w:rPr>
          <w:rFonts w:ascii="ArialMT" w:eastAsia="Times New Roman" w:hAnsi="ArialMT"/>
          <w:color w:val="000000"/>
          <w:szCs w:val="24"/>
        </w:rPr>
      </w:pPr>
      <w:r>
        <w:rPr>
          <w:rFonts w:ascii="ArialMT" w:eastAsia="Times New Roman" w:hAnsi="ArialMT"/>
          <w:color w:val="000000"/>
          <w:szCs w:val="24"/>
        </w:rPr>
        <w:br/>
      </w:r>
    </w:p>
    <w:p w:rsidR="00AE2D7F" w:rsidRPr="00F94FA9" w:rsidRDefault="00AE2D7F" w:rsidP="006573C0">
      <w:pPr>
        <w:rPr>
          <w:szCs w:val="24"/>
        </w:rPr>
      </w:pPr>
    </w:p>
    <w:sectPr w:rsidR="00AE2D7F" w:rsidRPr="00F94FA9" w:rsidSect="0057672C">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7BD6" w16cex:dateUtc="2020-07-22T07:48:00Z"/>
  <w16cex:commentExtensible w16cex:durableId="22C27B7B" w16cex:dateUtc="2020-07-22T07:46:00Z"/>
  <w16cex:commentExtensible w16cex:durableId="22C27C36" w16cex:dateUtc="2020-07-22T07:49:00Z"/>
  <w16cex:commentExtensible w16cex:durableId="22C27EB0" w16cex:dateUtc="2020-07-22T08:00:00Z"/>
  <w16cex:commentExtensible w16cex:durableId="22C28548" w16cex:dateUtc="2020-07-22T08:28:00Z"/>
  <w16cex:commentExtensible w16cex:durableId="22C28FD2" w16cex:dateUtc="2020-07-22T09:13:00Z"/>
  <w16cex:commentExtensible w16cex:durableId="22C2A830" w16cex:dateUtc="2020-07-22T10:57:00Z"/>
  <w16cex:commentExtensible w16cex:durableId="22C2C302" w16cex:dateUtc="2020-07-22T12:52:00Z"/>
  <w16cex:commentExtensible w16cex:durableId="22C2C821" w16cex:dateUtc="2020-07-22T13:13:00Z"/>
  <w16cex:commentExtensible w16cex:durableId="22C3CB0A" w16cex:dateUtc="2020-07-23T07:38:00Z"/>
  <w16cex:commentExtensible w16cex:durableId="22C3DDA1" w16cex:dateUtc="2020-07-23T08:57:00Z"/>
  <w16cex:commentExtensible w16cex:durableId="22C3E087" w16cex:dateUtc="2020-07-23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507" w:rsidRDefault="00323507" w:rsidP="00FE2FD9">
      <w:pPr>
        <w:spacing w:after="0" w:line="240" w:lineRule="auto"/>
      </w:pPr>
      <w:r>
        <w:separator/>
      </w:r>
    </w:p>
  </w:endnote>
  <w:endnote w:type="continuationSeparator" w:id="0">
    <w:p w:rsidR="00323507" w:rsidRDefault="00323507" w:rsidP="00FE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303958"/>
      <w:docPartObj>
        <w:docPartGallery w:val="Page Numbers (Bottom of Page)"/>
        <w:docPartUnique/>
      </w:docPartObj>
    </w:sdtPr>
    <w:sdtEndPr>
      <w:rPr>
        <w:noProof/>
      </w:rPr>
    </w:sdtEndPr>
    <w:sdtContent>
      <w:p w:rsidR="003738AC" w:rsidRDefault="00373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38AC" w:rsidRDefault="0037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507" w:rsidRDefault="00323507" w:rsidP="00FE2FD9">
      <w:pPr>
        <w:spacing w:after="0" w:line="240" w:lineRule="auto"/>
      </w:pPr>
      <w:r>
        <w:separator/>
      </w:r>
    </w:p>
  </w:footnote>
  <w:footnote w:type="continuationSeparator" w:id="0">
    <w:p w:rsidR="00323507" w:rsidRDefault="00323507" w:rsidP="00FE2FD9">
      <w:pPr>
        <w:spacing w:after="0" w:line="240" w:lineRule="auto"/>
      </w:pPr>
      <w:r>
        <w:continuationSeparator/>
      </w:r>
    </w:p>
  </w:footnote>
  <w:footnote w:id="1">
    <w:p w:rsidR="003738AC" w:rsidRDefault="003738AC">
      <w:pPr>
        <w:pStyle w:val="FootnoteText"/>
      </w:pPr>
      <w:r>
        <w:rPr>
          <w:rStyle w:val="FootnoteReference"/>
        </w:rPr>
        <w:footnoteRef/>
      </w:r>
      <w:r>
        <w:t xml:space="preserve"> </w:t>
      </w:r>
      <w:r w:rsidRPr="00F94FA9">
        <w:t>Unless stated otherwise, the general information on the gut microbiota in this</w:t>
      </w:r>
      <w:r>
        <w:t xml:space="preserve"> </w:t>
      </w:r>
      <w:r w:rsidRPr="00F94FA9">
        <w:t>introduction (paragraphs 1 – 2</w:t>
      </w:r>
      <w:r>
        <w:t>5</w:t>
      </w:r>
      <w:r w:rsidRPr="00F94FA9">
        <w:t xml:space="preserve">) is taken from reviews by Rowland </w:t>
      </w:r>
      <w:r w:rsidRPr="00030E44">
        <w:rPr>
          <w:i/>
        </w:rPr>
        <w:t xml:space="preserve">et </w:t>
      </w:r>
      <w:r w:rsidRPr="00F94FA9">
        <w:t>al (2018), Jandhyala</w:t>
      </w:r>
      <w:r w:rsidRPr="00030E44">
        <w:rPr>
          <w:i/>
        </w:rPr>
        <w:t xml:space="preserve"> et al</w:t>
      </w:r>
      <w:r w:rsidRPr="00F94FA9">
        <w:t xml:space="preserve"> (2015) and Hollister </w:t>
      </w:r>
      <w:r w:rsidRPr="00030E44">
        <w:rPr>
          <w:i/>
        </w:rPr>
        <w:t>et al</w:t>
      </w:r>
      <w:r w:rsidRPr="00F94FA9">
        <w:t xml:space="preserve"> (2014).</w:t>
      </w:r>
    </w:p>
  </w:footnote>
  <w:footnote w:id="2">
    <w:p w:rsidR="003738AC" w:rsidRDefault="003738AC" w:rsidP="00FA6475">
      <w:pPr>
        <w:pStyle w:val="ListParagraph"/>
        <w:tabs>
          <w:tab w:val="left" w:pos="0"/>
        </w:tabs>
        <w:spacing w:before="240" w:line="240" w:lineRule="auto"/>
        <w:ind w:left="0"/>
      </w:pPr>
      <w:r>
        <w:rPr>
          <w:rStyle w:val="FootnoteReference"/>
        </w:rPr>
        <w:footnoteRef/>
      </w:r>
      <w:r>
        <w:t xml:space="preserve"> </w:t>
      </w:r>
      <w:r w:rsidRPr="00FA6475">
        <w:rPr>
          <w:sz w:val="20"/>
          <w:szCs w:val="20"/>
        </w:rPr>
        <w:t>Peyer’s patches are lymphoid tissue involved in the maturation of IgA-producing B cells and are widely distributed in the small intestine and to a lesser extent in the colon. These patches contribute to generating B cells and plasma cells. Activated B cells in Peyer’s patches consistently generate IgA-producing plasma cells for T cell-dependent and T cell-independent responses in the gut.  Secreti</w:t>
      </w:r>
      <w:r>
        <w:rPr>
          <w:sz w:val="20"/>
          <w:szCs w:val="20"/>
        </w:rPr>
        <w:t>o</w:t>
      </w:r>
      <w:r w:rsidRPr="00FA6475">
        <w:rPr>
          <w:sz w:val="20"/>
          <w:szCs w:val="20"/>
        </w:rPr>
        <w:t xml:space="preserve">n </w:t>
      </w:r>
      <w:r>
        <w:rPr>
          <w:sz w:val="20"/>
          <w:szCs w:val="20"/>
        </w:rPr>
        <w:t xml:space="preserve">of </w:t>
      </w:r>
      <w:r w:rsidRPr="00FA6475">
        <w:rPr>
          <w:sz w:val="20"/>
          <w:szCs w:val="20"/>
        </w:rPr>
        <w:t>IgA is their major contribution to protecting the gut barrier.</w:t>
      </w:r>
    </w:p>
    <w:p w:rsidR="003738AC" w:rsidRDefault="003738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AC" w:rsidRPr="00CB6EF2" w:rsidRDefault="003738AC" w:rsidP="00CB6EF2">
    <w:pPr>
      <w:pStyle w:val="Header"/>
      <w:jc w:val="center"/>
      <w:rPr>
        <w:color w:val="FF0000"/>
        <w:sz w:val="20"/>
        <w:szCs w:val="20"/>
      </w:rPr>
    </w:pPr>
    <w:r>
      <w:rPr>
        <w:color w:val="FF0000"/>
        <w:sz w:val="20"/>
        <w:szCs w:val="20"/>
      </w:rPr>
      <w:t>This is a draft paper for discussion and does not represent the views of the Committee. It should not be cited.</w:t>
    </w:r>
  </w:p>
  <w:p w:rsidR="003738AC" w:rsidRDefault="0037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2A1"/>
    <w:multiLevelType w:val="multilevel"/>
    <w:tmpl w:val="FD1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6099"/>
    <w:multiLevelType w:val="multilevel"/>
    <w:tmpl w:val="42F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D799D"/>
    <w:multiLevelType w:val="hybridMultilevel"/>
    <w:tmpl w:val="BE7A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11B2F"/>
    <w:multiLevelType w:val="hybridMultilevel"/>
    <w:tmpl w:val="E8B02A2E"/>
    <w:lvl w:ilvl="0" w:tplc="D04A4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25513"/>
    <w:multiLevelType w:val="hybridMultilevel"/>
    <w:tmpl w:val="154C45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B14DA"/>
    <w:multiLevelType w:val="hybridMultilevel"/>
    <w:tmpl w:val="E7A09770"/>
    <w:lvl w:ilvl="0" w:tplc="ADBED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B03B8"/>
    <w:multiLevelType w:val="hybridMultilevel"/>
    <w:tmpl w:val="CCF6850A"/>
    <w:lvl w:ilvl="0" w:tplc="0809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161" w:hanging="360"/>
      </w:pPr>
    </w:lvl>
    <w:lvl w:ilvl="2" w:tplc="7B8E7C34">
      <w:start w:val="1"/>
      <w:numFmt w:val="decimal"/>
      <w:lvlText w:val="%3"/>
      <w:lvlJc w:val="left"/>
      <w:pPr>
        <w:ind w:left="2421" w:hanging="720"/>
      </w:pPr>
      <w:rPr>
        <w:rFonts w:hint="default"/>
      </w:rPr>
    </w:lvl>
    <w:lvl w:ilvl="3" w:tplc="0809000F" w:tentative="1">
      <w:start w:val="1"/>
      <w:numFmt w:val="decimal"/>
      <w:lvlText w:val="%4."/>
      <w:lvlJc w:val="left"/>
      <w:pPr>
        <w:ind w:left="2601" w:hanging="360"/>
      </w:pPr>
    </w:lvl>
    <w:lvl w:ilvl="4" w:tplc="08090019" w:tentative="1">
      <w:start w:val="1"/>
      <w:numFmt w:val="lowerLetter"/>
      <w:lvlText w:val="%5."/>
      <w:lvlJc w:val="left"/>
      <w:pPr>
        <w:ind w:left="3321" w:hanging="360"/>
      </w:pPr>
    </w:lvl>
    <w:lvl w:ilvl="5" w:tplc="0809001B" w:tentative="1">
      <w:start w:val="1"/>
      <w:numFmt w:val="lowerRoman"/>
      <w:lvlText w:val="%6."/>
      <w:lvlJc w:val="right"/>
      <w:pPr>
        <w:ind w:left="4041" w:hanging="180"/>
      </w:pPr>
    </w:lvl>
    <w:lvl w:ilvl="6" w:tplc="0809000F" w:tentative="1">
      <w:start w:val="1"/>
      <w:numFmt w:val="decimal"/>
      <w:lvlText w:val="%7."/>
      <w:lvlJc w:val="left"/>
      <w:pPr>
        <w:ind w:left="4761" w:hanging="360"/>
      </w:pPr>
    </w:lvl>
    <w:lvl w:ilvl="7" w:tplc="08090019" w:tentative="1">
      <w:start w:val="1"/>
      <w:numFmt w:val="lowerLetter"/>
      <w:lvlText w:val="%8."/>
      <w:lvlJc w:val="left"/>
      <w:pPr>
        <w:ind w:left="5481" w:hanging="360"/>
      </w:pPr>
    </w:lvl>
    <w:lvl w:ilvl="8" w:tplc="0809001B" w:tentative="1">
      <w:start w:val="1"/>
      <w:numFmt w:val="lowerRoman"/>
      <w:lvlText w:val="%9."/>
      <w:lvlJc w:val="right"/>
      <w:pPr>
        <w:ind w:left="6201" w:hanging="180"/>
      </w:pPr>
    </w:lvl>
  </w:abstractNum>
  <w:abstractNum w:abstractNumId="7" w15:restartNumberingAfterBreak="0">
    <w:nsid w:val="543005CB"/>
    <w:multiLevelType w:val="hybridMultilevel"/>
    <w:tmpl w:val="FE06C97E"/>
    <w:lvl w:ilvl="0" w:tplc="C3A048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F5976"/>
    <w:multiLevelType w:val="hybridMultilevel"/>
    <w:tmpl w:val="492C9340"/>
    <w:lvl w:ilvl="0" w:tplc="828C9714">
      <w:start w:val="1"/>
      <w:numFmt w:val="decimal"/>
      <w:lvlText w:val="%1."/>
      <w:lvlJc w:val="left"/>
      <w:pPr>
        <w:ind w:left="360" w:hanging="360"/>
      </w:pPr>
      <w:rPr>
        <w:i w:val="0"/>
      </w:rPr>
    </w:lvl>
    <w:lvl w:ilvl="1" w:tplc="08090019">
      <w:start w:val="1"/>
      <w:numFmt w:val="lowerLetter"/>
      <w:lvlText w:val="%2."/>
      <w:lvlJc w:val="left"/>
      <w:pPr>
        <w:ind w:left="801" w:hanging="360"/>
      </w:pPr>
    </w:lvl>
    <w:lvl w:ilvl="2" w:tplc="7B8E7C34">
      <w:start w:val="1"/>
      <w:numFmt w:val="decimal"/>
      <w:lvlText w:val="%3"/>
      <w:lvlJc w:val="left"/>
      <w:pPr>
        <w:ind w:left="2061" w:hanging="720"/>
      </w:pPr>
      <w:rPr>
        <w:rFonts w:hint="default"/>
      </w:rPr>
    </w:lvl>
    <w:lvl w:ilvl="3" w:tplc="0809000F" w:tentative="1">
      <w:start w:val="1"/>
      <w:numFmt w:val="decimal"/>
      <w:lvlText w:val="%4."/>
      <w:lvlJc w:val="left"/>
      <w:pPr>
        <w:ind w:left="2241" w:hanging="360"/>
      </w:pPr>
    </w:lvl>
    <w:lvl w:ilvl="4" w:tplc="08090019" w:tentative="1">
      <w:start w:val="1"/>
      <w:numFmt w:val="lowerLetter"/>
      <w:lvlText w:val="%5."/>
      <w:lvlJc w:val="left"/>
      <w:pPr>
        <w:ind w:left="2961" w:hanging="360"/>
      </w:pPr>
    </w:lvl>
    <w:lvl w:ilvl="5" w:tplc="0809001B" w:tentative="1">
      <w:start w:val="1"/>
      <w:numFmt w:val="lowerRoman"/>
      <w:lvlText w:val="%6."/>
      <w:lvlJc w:val="right"/>
      <w:pPr>
        <w:ind w:left="3681" w:hanging="180"/>
      </w:pPr>
    </w:lvl>
    <w:lvl w:ilvl="6" w:tplc="0809000F" w:tentative="1">
      <w:start w:val="1"/>
      <w:numFmt w:val="decimal"/>
      <w:lvlText w:val="%7."/>
      <w:lvlJc w:val="left"/>
      <w:pPr>
        <w:ind w:left="4401" w:hanging="360"/>
      </w:pPr>
    </w:lvl>
    <w:lvl w:ilvl="7" w:tplc="08090019" w:tentative="1">
      <w:start w:val="1"/>
      <w:numFmt w:val="lowerLetter"/>
      <w:lvlText w:val="%8."/>
      <w:lvlJc w:val="left"/>
      <w:pPr>
        <w:ind w:left="5121" w:hanging="360"/>
      </w:pPr>
    </w:lvl>
    <w:lvl w:ilvl="8" w:tplc="0809001B" w:tentative="1">
      <w:start w:val="1"/>
      <w:numFmt w:val="lowerRoman"/>
      <w:lvlText w:val="%9."/>
      <w:lvlJc w:val="right"/>
      <w:pPr>
        <w:ind w:left="5841" w:hanging="180"/>
      </w:pPr>
    </w:lvl>
  </w:abstractNum>
  <w:abstractNum w:abstractNumId="9" w15:restartNumberingAfterBreak="0">
    <w:nsid w:val="6A6A45A7"/>
    <w:multiLevelType w:val="multilevel"/>
    <w:tmpl w:val="9CC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70420"/>
    <w:multiLevelType w:val="hybridMultilevel"/>
    <w:tmpl w:val="F1168392"/>
    <w:lvl w:ilvl="0" w:tplc="A44451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41743"/>
    <w:multiLevelType w:val="hybridMultilevel"/>
    <w:tmpl w:val="303A7728"/>
    <w:lvl w:ilvl="0" w:tplc="ADBED6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33AB5"/>
    <w:multiLevelType w:val="multilevel"/>
    <w:tmpl w:val="F00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
  </w:num>
  <w:num w:numId="5">
    <w:abstractNumId w:val="3"/>
  </w:num>
  <w:num w:numId="6">
    <w:abstractNumId w:val="0"/>
  </w:num>
  <w:num w:numId="7">
    <w:abstractNumId w:val="9"/>
  </w:num>
  <w:num w:numId="8">
    <w:abstractNumId w:val="5"/>
  </w:num>
  <w:num w:numId="9">
    <w:abstractNumId w:val="11"/>
  </w:num>
  <w:num w:numId="10">
    <w:abstractNumId w:val="4"/>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83"/>
    <w:rsid w:val="00000CF7"/>
    <w:rsid w:val="00000E05"/>
    <w:rsid w:val="00004CA5"/>
    <w:rsid w:val="00005B7E"/>
    <w:rsid w:val="00006243"/>
    <w:rsid w:val="00006301"/>
    <w:rsid w:val="000071B2"/>
    <w:rsid w:val="000078BC"/>
    <w:rsid w:val="00007E0A"/>
    <w:rsid w:val="000106B0"/>
    <w:rsid w:val="00010BC9"/>
    <w:rsid w:val="000119FC"/>
    <w:rsid w:val="00011B30"/>
    <w:rsid w:val="00012381"/>
    <w:rsid w:val="00013D04"/>
    <w:rsid w:val="00014A4B"/>
    <w:rsid w:val="000169B2"/>
    <w:rsid w:val="0001721A"/>
    <w:rsid w:val="000217DB"/>
    <w:rsid w:val="00021AE0"/>
    <w:rsid w:val="00022C09"/>
    <w:rsid w:val="00023557"/>
    <w:rsid w:val="00023CB9"/>
    <w:rsid w:val="00024373"/>
    <w:rsid w:val="00024F89"/>
    <w:rsid w:val="00026EE7"/>
    <w:rsid w:val="000302E9"/>
    <w:rsid w:val="00030832"/>
    <w:rsid w:val="00030E44"/>
    <w:rsid w:val="0003633E"/>
    <w:rsid w:val="00036431"/>
    <w:rsid w:val="00036534"/>
    <w:rsid w:val="00036657"/>
    <w:rsid w:val="000400CA"/>
    <w:rsid w:val="0004062C"/>
    <w:rsid w:val="00040632"/>
    <w:rsid w:val="00041E20"/>
    <w:rsid w:val="0004248A"/>
    <w:rsid w:val="00047A87"/>
    <w:rsid w:val="00047F94"/>
    <w:rsid w:val="000501FD"/>
    <w:rsid w:val="0005022B"/>
    <w:rsid w:val="000509CA"/>
    <w:rsid w:val="000515E7"/>
    <w:rsid w:val="00052E93"/>
    <w:rsid w:val="00053597"/>
    <w:rsid w:val="0005370E"/>
    <w:rsid w:val="00053B24"/>
    <w:rsid w:val="0005444E"/>
    <w:rsid w:val="000552D7"/>
    <w:rsid w:val="00056900"/>
    <w:rsid w:val="00057904"/>
    <w:rsid w:val="000607D8"/>
    <w:rsid w:val="0006277C"/>
    <w:rsid w:val="0006282D"/>
    <w:rsid w:val="00063B13"/>
    <w:rsid w:val="000642CB"/>
    <w:rsid w:val="00064E8B"/>
    <w:rsid w:val="00064E9B"/>
    <w:rsid w:val="00065CE0"/>
    <w:rsid w:val="00065F55"/>
    <w:rsid w:val="00066747"/>
    <w:rsid w:val="000667EF"/>
    <w:rsid w:val="00067074"/>
    <w:rsid w:val="00071CC8"/>
    <w:rsid w:val="00073A55"/>
    <w:rsid w:val="00073D9B"/>
    <w:rsid w:val="00076BA8"/>
    <w:rsid w:val="0007758B"/>
    <w:rsid w:val="00080644"/>
    <w:rsid w:val="000844E0"/>
    <w:rsid w:val="00085976"/>
    <w:rsid w:val="000864F0"/>
    <w:rsid w:val="00086760"/>
    <w:rsid w:val="000872A3"/>
    <w:rsid w:val="00090563"/>
    <w:rsid w:val="00090BEB"/>
    <w:rsid w:val="000926B4"/>
    <w:rsid w:val="00092FE3"/>
    <w:rsid w:val="000938EE"/>
    <w:rsid w:val="00093B76"/>
    <w:rsid w:val="00095242"/>
    <w:rsid w:val="00095B33"/>
    <w:rsid w:val="0009759D"/>
    <w:rsid w:val="00097EE0"/>
    <w:rsid w:val="000A30C4"/>
    <w:rsid w:val="000A504C"/>
    <w:rsid w:val="000A5577"/>
    <w:rsid w:val="000A610E"/>
    <w:rsid w:val="000A6217"/>
    <w:rsid w:val="000A6F53"/>
    <w:rsid w:val="000B17FE"/>
    <w:rsid w:val="000B21EA"/>
    <w:rsid w:val="000B2A14"/>
    <w:rsid w:val="000B32ED"/>
    <w:rsid w:val="000B3830"/>
    <w:rsid w:val="000B421B"/>
    <w:rsid w:val="000B4D05"/>
    <w:rsid w:val="000B672A"/>
    <w:rsid w:val="000B7C11"/>
    <w:rsid w:val="000B7F09"/>
    <w:rsid w:val="000C0867"/>
    <w:rsid w:val="000C0E45"/>
    <w:rsid w:val="000C16DB"/>
    <w:rsid w:val="000C1FF0"/>
    <w:rsid w:val="000C34B8"/>
    <w:rsid w:val="000C5524"/>
    <w:rsid w:val="000C55B3"/>
    <w:rsid w:val="000C5AAD"/>
    <w:rsid w:val="000C798B"/>
    <w:rsid w:val="000D056D"/>
    <w:rsid w:val="000D0F6C"/>
    <w:rsid w:val="000D10F4"/>
    <w:rsid w:val="000D259F"/>
    <w:rsid w:val="000D27D2"/>
    <w:rsid w:val="000D29A5"/>
    <w:rsid w:val="000D3198"/>
    <w:rsid w:val="000D3DAF"/>
    <w:rsid w:val="000D456E"/>
    <w:rsid w:val="000D5974"/>
    <w:rsid w:val="000E09CF"/>
    <w:rsid w:val="000E22C7"/>
    <w:rsid w:val="000E2644"/>
    <w:rsid w:val="000E3132"/>
    <w:rsid w:val="000E645B"/>
    <w:rsid w:val="000E7429"/>
    <w:rsid w:val="000F17C9"/>
    <w:rsid w:val="000F2630"/>
    <w:rsid w:val="000F27E5"/>
    <w:rsid w:val="000F4B7E"/>
    <w:rsid w:val="000F5254"/>
    <w:rsid w:val="000F6058"/>
    <w:rsid w:val="000F63A1"/>
    <w:rsid w:val="000F78E9"/>
    <w:rsid w:val="000F7E03"/>
    <w:rsid w:val="000F7E7D"/>
    <w:rsid w:val="00100005"/>
    <w:rsid w:val="00100A19"/>
    <w:rsid w:val="00103A84"/>
    <w:rsid w:val="0010521D"/>
    <w:rsid w:val="0010625C"/>
    <w:rsid w:val="00107294"/>
    <w:rsid w:val="001106DE"/>
    <w:rsid w:val="0011191F"/>
    <w:rsid w:val="00111A43"/>
    <w:rsid w:val="00111B68"/>
    <w:rsid w:val="00111CCC"/>
    <w:rsid w:val="001121F0"/>
    <w:rsid w:val="00112D1D"/>
    <w:rsid w:val="00113C99"/>
    <w:rsid w:val="00113EFC"/>
    <w:rsid w:val="00114AED"/>
    <w:rsid w:val="0012106C"/>
    <w:rsid w:val="00121BB9"/>
    <w:rsid w:val="00122655"/>
    <w:rsid w:val="00124FD9"/>
    <w:rsid w:val="00125777"/>
    <w:rsid w:val="00125A7C"/>
    <w:rsid w:val="00126A07"/>
    <w:rsid w:val="00126AB3"/>
    <w:rsid w:val="001308E3"/>
    <w:rsid w:val="00131629"/>
    <w:rsid w:val="001366F5"/>
    <w:rsid w:val="00137465"/>
    <w:rsid w:val="00137CCA"/>
    <w:rsid w:val="00140DBB"/>
    <w:rsid w:val="00141F1B"/>
    <w:rsid w:val="00141F66"/>
    <w:rsid w:val="001427B7"/>
    <w:rsid w:val="00142979"/>
    <w:rsid w:val="00143AD8"/>
    <w:rsid w:val="0014411A"/>
    <w:rsid w:val="00144449"/>
    <w:rsid w:val="00145ACA"/>
    <w:rsid w:val="00145BB2"/>
    <w:rsid w:val="00150201"/>
    <w:rsid w:val="00150F45"/>
    <w:rsid w:val="0015196C"/>
    <w:rsid w:val="00151A01"/>
    <w:rsid w:val="00152F00"/>
    <w:rsid w:val="001536D5"/>
    <w:rsid w:val="0015485C"/>
    <w:rsid w:val="00155203"/>
    <w:rsid w:val="00156F37"/>
    <w:rsid w:val="00157206"/>
    <w:rsid w:val="00157CA6"/>
    <w:rsid w:val="001603D0"/>
    <w:rsid w:val="00162CF3"/>
    <w:rsid w:val="00164830"/>
    <w:rsid w:val="00164C60"/>
    <w:rsid w:val="00165412"/>
    <w:rsid w:val="001658B6"/>
    <w:rsid w:val="0016685F"/>
    <w:rsid w:val="00167803"/>
    <w:rsid w:val="00170A16"/>
    <w:rsid w:val="0017194F"/>
    <w:rsid w:val="0017379B"/>
    <w:rsid w:val="0017491F"/>
    <w:rsid w:val="00176957"/>
    <w:rsid w:val="00176D2F"/>
    <w:rsid w:val="00177BF5"/>
    <w:rsid w:val="0018006F"/>
    <w:rsid w:val="00181349"/>
    <w:rsid w:val="00181CC5"/>
    <w:rsid w:val="00181F7F"/>
    <w:rsid w:val="00182F43"/>
    <w:rsid w:val="00183E5B"/>
    <w:rsid w:val="00184051"/>
    <w:rsid w:val="0018435E"/>
    <w:rsid w:val="00186B36"/>
    <w:rsid w:val="001876D3"/>
    <w:rsid w:val="00191B07"/>
    <w:rsid w:val="00191E3D"/>
    <w:rsid w:val="00192954"/>
    <w:rsid w:val="00194E70"/>
    <w:rsid w:val="00197684"/>
    <w:rsid w:val="001B0693"/>
    <w:rsid w:val="001B15D5"/>
    <w:rsid w:val="001B20DD"/>
    <w:rsid w:val="001B270A"/>
    <w:rsid w:val="001B4583"/>
    <w:rsid w:val="001B5F30"/>
    <w:rsid w:val="001B66CE"/>
    <w:rsid w:val="001B7006"/>
    <w:rsid w:val="001C0084"/>
    <w:rsid w:val="001C1893"/>
    <w:rsid w:val="001C2DC6"/>
    <w:rsid w:val="001C2DF8"/>
    <w:rsid w:val="001C59F5"/>
    <w:rsid w:val="001D0354"/>
    <w:rsid w:val="001D1841"/>
    <w:rsid w:val="001D1CE1"/>
    <w:rsid w:val="001D2143"/>
    <w:rsid w:val="001D3953"/>
    <w:rsid w:val="001D3A48"/>
    <w:rsid w:val="001D5A5B"/>
    <w:rsid w:val="001D67CB"/>
    <w:rsid w:val="001D6B52"/>
    <w:rsid w:val="001D77FD"/>
    <w:rsid w:val="001D791B"/>
    <w:rsid w:val="001D7A19"/>
    <w:rsid w:val="001E49E2"/>
    <w:rsid w:val="001E520D"/>
    <w:rsid w:val="001E6A09"/>
    <w:rsid w:val="001E6B0C"/>
    <w:rsid w:val="001F015B"/>
    <w:rsid w:val="001F156D"/>
    <w:rsid w:val="001F1C5D"/>
    <w:rsid w:val="001F33B0"/>
    <w:rsid w:val="001F4C46"/>
    <w:rsid w:val="001F663B"/>
    <w:rsid w:val="001F7641"/>
    <w:rsid w:val="001F7863"/>
    <w:rsid w:val="0020245D"/>
    <w:rsid w:val="00202FBB"/>
    <w:rsid w:val="00203E8C"/>
    <w:rsid w:val="0020403B"/>
    <w:rsid w:val="002041FA"/>
    <w:rsid w:val="002053A5"/>
    <w:rsid w:val="002053BF"/>
    <w:rsid w:val="00205FD5"/>
    <w:rsid w:val="002063A1"/>
    <w:rsid w:val="00207F76"/>
    <w:rsid w:val="002115DD"/>
    <w:rsid w:val="00212E11"/>
    <w:rsid w:val="00214C58"/>
    <w:rsid w:val="00214E26"/>
    <w:rsid w:val="00215A81"/>
    <w:rsid w:val="002163E2"/>
    <w:rsid w:val="00216B0C"/>
    <w:rsid w:val="00220219"/>
    <w:rsid w:val="002254C0"/>
    <w:rsid w:val="00225CA4"/>
    <w:rsid w:val="002304C8"/>
    <w:rsid w:val="002318E0"/>
    <w:rsid w:val="00231C34"/>
    <w:rsid w:val="00232461"/>
    <w:rsid w:val="0023378D"/>
    <w:rsid w:val="00234BA2"/>
    <w:rsid w:val="00235C29"/>
    <w:rsid w:val="002361AF"/>
    <w:rsid w:val="00236885"/>
    <w:rsid w:val="00236BC9"/>
    <w:rsid w:val="002372A5"/>
    <w:rsid w:val="00237915"/>
    <w:rsid w:val="00241794"/>
    <w:rsid w:val="00242419"/>
    <w:rsid w:val="0024737E"/>
    <w:rsid w:val="002503B7"/>
    <w:rsid w:val="002506BA"/>
    <w:rsid w:val="00254A12"/>
    <w:rsid w:val="00254E18"/>
    <w:rsid w:val="00260E7E"/>
    <w:rsid w:val="002610FE"/>
    <w:rsid w:val="00261586"/>
    <w:rsid w:val="00261608"/>
    <w:rsid w:val="00262106"/>
    <w:rsid w:val="0026428F"/>
    <w:rsid w:val="002644AE"/>
    <w:rsid w:val="00266646"/>
    <w:rsid w:val="00266F98"/>
    <w:rsid w:val="00267ADA"/>
    <w:rsid w:val="00267E63"/>
    <w:rsid w:val="00270D80"/>
    <w:rsid w:val="002727A2"/>
    <w:rsid w:val="00272F8A"/>
    <w:rsid w:val="002737EF"/>
    <w:rsid w:val="0027394B"/>
    <w:rsid w:val="002749F3"/>
    <w:rsid w:val="00274A00"/>
    <w:rsid w:val="00275E9B"/>
    <w:rsid w:val="00277B5F"/>
    <w:rsid w:val="00277D27"/>
    <w:rsid w:val="00277E69"/>
    <w:rsid w:val="00280B52"/>
    <w:rsid w:val="00283819"/>
    <w:rsid w:val="0028391D"/>
    <w:rsid w:val="00283AFC"/>
    <w:rsid w:val="00284090"/>
    <w:rsid w:val="002841BC"/>
    <w:rsid w:val="00284DB5"/>
    <w:rsid w:val="00286150"/>
    <w:rsid w:val="00290B3F"/>
    <w:rsid w:val="00290EA6"/>
    <w:rsid w:val="0029106F"/>
    <w:rsid w:val="00294599"/>
    <w:rsid w:val="00296DDB"/>
    <w:rsid w:val="0029772A"/>
    <w:rsid w:val="00297A36"/>
    <w:rsid w:val="002A161B"/>
    <w:rsid w:val="002A20BC"/>
    <w:rsid w:val="002A3C24"/>
    <w:rsid w:val="002A5F24"/>
    <w:rsid w:val="002A6A04"/>
    <w:rsid w:val="002B0F59"/>
    <w:rsid w:val="002B2521"/>
    <w:rsid w:val="002B27CA"/>
    <w:rsid w:val="002B282D"/>
    <w:rsid w:val="002B29D8"/>
    <w:rsid w:val="002B2B3E"/>
    <w:rsid w:val="002B2C83"/>
    <w:rsid w:val="002B3A50"/>
    <w:rsid w:val="002B500F"/>
    <w:rsid w:val="002B538D"/>
    <w:rsid w:val="002B5678"/>
    <w:rsid w:val="002B6052"/>
    <w:rsid w:val="002B7395"/>
    <w:rsid w:val="002C017A"/>
    <w:rsid w:val="002C07D0"/>
    <w:rsid w:val="002C1335"/>
    <w:rsid w:val="002C2C14"/>
    <w:rsid w:val="002C3F0B"/>
    <w:rsid w:val="002C4334"/>
    <w:rsid w:val="002C492D"/>
    <w:rsid w:val="002C5469"/>
    <w:rsid w:val="002C62DC"/>
    <w:rsid w:val="002C6C80"/>
    <w:rsid w:val="002D06C9"/>
    <w:rsid w:val="002D130F"/>
    <w:rsid w:val="002D26A9"/>
    <w:rsid w:val="002D2E3D"/>
    <w:rsid w:val="002D2F85"/>
    <w:rsid w:val="002D3332"/>
    <w:rsid w:val="002D3AAA"/>
    <w:rsid w:val="002D590E"/>
    <w:rsid w:val="002D6525"/>
    <w:rsid w:val="002D7552"/>
    <w:rsid w:val="002D76D8"/>
    <w:rsid w:val="002D7E28"/>
    <w:rsid w:val="002E1B38"/>
    <w:rsid w:val="002E50FE"/>
    <w:rsid w:val="002E5303"/>
    <w:rsid w:val="002E5330"/>
    <w:rsid w:val="002E5DB7"/>
    <w:rsid w:val="002F1169"/>
    <w:rsid w:val="002F1CA1"/>
    <w:rsid w:val="002F244A"/>
    <w:rsid w:val="002F3504"/>
    <w:rsid w:val="002F5139"/>
    <w:rsid w:val="002F55D6"/>
    <w:rsid w:val="002F6174"/>
    <w:rsid w:val="002F6929"/>
    <w:rsid w:val="002F7AF6"/>
    <w:rsid w:val="003009F9"/>
    <w:rsid w:val="00300E4F"/>
    <w:rsid w:val="00303745"/>
    <w:rsid w:val="00303BC5"/>
    <w:rsid w:val="003048DD"/>
    <w:rsid w:val="0030497C"/>
    <w:rsid w:val="00304AD6"/>
    <w:rsid w:val="00304DA7"/>
    <w:rsid w:val="003057C8"/>
    <w:rsid w:val="0031308E"/>
    <w:rsid w:val="0031361E"/>
    <w:rsid w:val="00313A29"/>
    <w:rsid w:val="00315599"/>
    <w:rsid w:val="00316110"/>
    <w:rsid w:val="003175BE"/>
    <w:rsid w:val="00317741"/>
    <w:rsid w:val="003203AA"/>
    <w:rsid w:val="0032072D"/>
    <w:rsid w:val="00321BD9"/>
    <w:rsid w:val="00321DFA"/>
    <w:rsid w:val="00322A28"/>
    <w:rsid w:val="00323507"/>
    <w:rsid w:val="00323CBF"/>
    <w:rsid w:val="003259EC"/>
    <w:rsid w:val="00326947"/>
    <w:rsid w:val="00327423"/>
    <w:rsid w:val="0033007D"/>
    <w:rsid w:val="00331B91"/>
    <w:rsid w:val="00331D4D"/>
    <w:rsid w:val="00332122"/>
    <w:rsid w:val="00333898"/>
    <w:rsid w:val="00334024"/>
    <w:rsid w:val="00334D70"/>
    <w:rsid w:val="00335AB2"/>
    <w:rsid w:val="00336436"/>
    <w:rsid w:val="0033647C"/>
    <w:rsid w:val="00343340"/>
    <w:rsid w:val="00343958"/>
    <w:rsid w:val="00344325"/>
    <w:rsid w:val="00344BE0"/>
    <w:rsid w:val="00346C5D"/>
    <w:rsid w:val="0034745A"/>
    <w:rsid w:val="00347DFA"/>
    <w:rsid w:val="00350AB7"/>
    <w:rsid w:val="00352D7D"/>
    <w:rsid w:val="00352F4E"/>
    <w:rsid w:val="00354F79"/>
    <w:rsid w:val="003550CF"/>
    <w:rsid w:val="00355290"/>
    <w:rsid w:val="003554DA"/>
    <w:rsid w:val="003567B6"/>
    <w:rsid w:val="00356C81"/>
    <w:rsid w:val="00360EA5"/>
    <w:rsid w:val="0036352B"/>
    <w:rsid w:val="00363D68"/>
    <w:rsid w:val="00364EFE"/>
    <w:rsid w:val="00370F55"/>
    <w:rsid w:val="003738AC"/>
    <w:rsid w:val="00374CC2"/>
    <w:rsid w:val="00375B46"/>
    <w:rsid w:val="0037660F"/>
    <w:rsid w:val="0037784E"/>
    <w:rsid w:val="0038020A"/>
    <w:rsid w:val="0038280B"/>
    <w:rsid w:val="0038427E"/>
    <w:rsid w:val="00384AE9"/>
    <w:rsid w:val="003857E3"/>
    <w:rsid w:val="00385CBD"/>
    <w:rsid w:val="00390AEE"/>
    <w:rsid w:val="003919B6"/>
    <w:rsid w:val="00392A5E"/>
    <w:rsid w:val="00393453"/>
    <w:rsid w:val="003935E0"/>
    <w:rsid w:val="00393AD4"/>
    <w:rsid w:val="00393F68"/>
    <w:rsid w:val="00394067"/>
    <w:rsid w:val="0039432E"/>
    <w:rsid w:val="0039491E"/>
    <w:rsid w:val="00396130"/>
    <w:rsid w:val="00396317"/>
    <w:rsid w:val="003A184D"/>
    <w:rsid w:val="003A19F6"/>
    <w:rsid w:val="003A1C31"/>
    <w:rsid w:val="003A26B5"/>
    <w:rsid w:val="003A2C1A"/>
    <w:rsid w:val="003A3A73"/>
    <w:rsid w:val="003A4E97"/>
    <w:rsid w:val="003A4ECF"/>
    <w:rsid w:val="003A7E97"/>
    <w:rsid w:val="003A7F46"/>
    <w:rsid w:val="003B083D"/>
    <w:rsid w:val="003B12B8"/>
    <w:rsid w:val="003B4C45"/>
    <w:rsid w:val="003B4EBC"/>
    <w:rsid w:val="003B73BA"/>
    <w:rsid w:val="003B7580"/>
    <w:rsid w:val="003B7EFA"/>
    <w:rsid w:val="003C09B3"/>
    <w:rsid w:val="003C101B"/>
    <w:rsid w:val="003C527F"/>
    <w:rsid w:val="003C5ACF"/>
    <w:rsid w:val="003C5F25"/>
    <w:rsid w:val="003C6385"/>
    <w:rsid w:val="003D0CB4"/>
    <w:rsid w:val="003D18B5"/>
    <w:rsid w:val="003D53B1"/>
    <w:rsid w:val="003D6D4F"/>
    <w:rsid w:val="003D6E13"/>
    <w:rsid w:val="003E0924"/>
    <w:rsid w:val="003E0EEC"/>
    <w:rsid w:val="003E1B5D"/>
    <w:rsid w:val="003E511F"/>
    <w:rsid w:val="003E62E7"/>
    <w:rsid w:val="003E634B"/>
    <w:rsid w:val="003E7444"/>
    <w:rsid w:val="003E7AAE"/>
    <w:rsid w:val="003F0F16"/>
    <w:rsid w:val="003F0F56"/>
    <w:rsid w:val="003F10C4"/>
    <w:rsid w:val="003F172C"/>
    <w:rsid w:val="003F2A37"/>
    <w:rsid w:val="003F2F3D"/>
    <w:rsid w:val="003F37EC"/>
    <w:rsid w:val="003F55A9"/>
    <w:rsid w:val="003F573B"/>
    <w:rsid w:val="003F700B"/>
    <w:rsid w:val="00401EB4"/>
    <w:rsid w:val="00402454"/>
    <w:rsid w:val="00402848"/>
    <w:rsid w:val="004029E6"/>
    <w:rsid w:val="00402D1C"/>
    <w:rsid w:val="00403094"/>
    <w:rsid w:val="0040514C"/>
    <w:rsid w:val="00405D2F"/>
    <w:rsid w:val="00406009"/>
    <w:rsid w:val="004066F8"/>
    <w:rsid w:val="00411853"/>
    <w:rsid w:val="00411A60"/>
    <w:rsid w:val="00411F76"/>
    <w:rsid w:val="00412879"/>
    <w:rsid w:val="00412D59"/>
    <w:rsid w:val="0041563A"/>
    <w:rsid w:val="004156E3"/>
    <w:rsid w:val="004162BF"/>
    <w:rsid w:val="00421060"/>
    <w:rsid w:val="004211C6"/>
    <w:rsid w:val="004223F8"/>
    <w:rsid w:val="0042324D"/>
    <w:rsid w:val="004236A5"/>
    <w:rsid w:val="004237CE"/>
    <w:rsid w:val="00424226"/>
    <w:rsid w:val="00424E0A"/>
    <w:rsid w:val="004251E8"/>
    <w:rsid w:val="00425841"/>
    <w:rsid w:val="004272C6"/>
    <w:rsid w:val="0043021A"/>
    <w:rsid w:val="0043030D"/>
    <w:rsid w:val="0043057E"/>
    <w:rsid w:val="0043225C"/>
    <w:rsid w:val="004323EE"/>
    <w:rsid w:val="00432C6B"/>
    <w:rsid w:val="0043431E"/>
    <w:rsid w:val="004356CA"/>
    <w:rsid w:val="0043599B"/>
    <w:rsid w:val="004372FE"/>
    <w:rsid w:val="00440403"/>
    <w:rsid w:val="00440ABB"/>
    <w:rsid w:val="00440B26"/>
    <w:rsid w:val="0044137B"/>
    <w:rsid w:val="0044212F"/>
    <w:rsid w:val="0044213F"/>
    <w:rsid w:val="00443FF7"/>
    <w:rsid w:val="004446C5"/>
    <w:rsid w:val="00447931"/>
    <w:rsid w:val="004504B0"/>
    <w:rsid w:val="00450536"/>
    <w:rsid w:val="0045079A"/>
    <w:rsid w:val="00451819"/>
    <w:rsid w:val="00451F46"/>
    <w:rsid w:val="0045262D"/>
    <w:rsid w:val="00452B56"/>
    <w:rsid w:val="004532D2"/>
    <w:rsid w:val="00453D29"/>
    <w:rsid w:val="0045430A"/>
    <w:rsid w:val="004551DC"/>
    <w:rsid w:val="00455BC2"/>
    <w:rsid w:val="004570A5"/>
    <w:rsid w:val="00462674"/>
    <w:rsid w:val="004627BA"/>
    <w:rsid w:val="00462931"/>
    <w:rsid w:val="00463554"/>
    <w:rsid w:val="004646C6"/>
    <w:rsid w:val="00465BF0"/>
    <w:rsid w:val="00466DD0"/>
    <w:rsid w:val="004703DF"/>
    <w:rsid w:val="0047139B"/>
    <w:rsid w:val="00471763"/>
    <w:rsid w:val="0047498C"/>
    <w:rsid w:val="00474AFB"/>
    <w:rsid w:val="00475818"/>
    <w:rsid w:val="00481088"/>
    <w:rsid w:val="004825FB"/>
    <w:rsid w:val="00482D9D"/>
    <w:rsid w:val="00485B55"/>
    <w:rsid w:val="0048611B"/>
    <w:rsid w:val="004862FC"/>
    <w:rsid w:val="00486C3F"/>
    <w:rsid w:val="0048753B"/>
    <w:rsid w:val="0049040B"/>
    <w:rsid w:val="0049075E"/>
    <w:rsid w:val="00490849"/>
    <w:rsid w:val="00490997"/>
    <w:rsid w:val="004924A0"/>
    <w:rsid w:val="00492557"/>
    <w:rsid w:val="00492865"/>
    <w:rsid w:val="0049551F"/>
    <w:rsid w:val="00495601"/>
    <w:rsid w:val="004970FF"/>
    <w:rsid w:val="00497919"/>
    <w:rsid w:val="004A0BD5"/>
    <w:rsid w:val="004A2BDA"/>
    <w:rsid w:val="004A394A"/>
    <w:rsid w:val="004A5074"/>
    <w:rsid w:val="004A72F6"/>
    <w:rsid w:val="004A7BD9"/>
    <w:rsid w:val="004B2283"/>
    <w:rsid w:val="004B4ABA"/>
    <w:rsid w:val="004B5816"/>
    <w:rsid w:val="004C0742"/>
    <w:rsid w:val="004C4174"/>
    <w:rsid w:val="004C4C1C"/>
    <w:rsid w:val="004C4CED"/>
    <w:rsid w:val="004C665E"/>
    <w:rsid w:val="004D043C"/>
    <w:rsid w:val="004D0740"/>
    <w:rsid w:val="004D2267"/>
    <w:rsid w:val="004D40F3"/>
    <w:rsid w:val="004D43B9"/>
    <w:rsid w:val="004D51FD"/>
    <w:rsid w:val="004D52F0"/>
    <w:rsid w:val="004D598F"/>
    <w:rsid w:val="004D7ADC"/>
    <w:rsid w:val="004D7B6B"/>
    <w:rsid w:val="004D7E23"/>
    <w:rsid w:val="004E03E0"/>
    <w:rsid w:val="004E35C6"/>
    <w:rsid w:val="004E39E8"/>
    <w:rsid w:val="004E3C7C"/>
    <w:rsid w:val="004E48B7"/>
    <w:rsid w:val="004E5C94"/>
    <w:rsid w:val="004F0136"/>
    <w:rsid w:val="004F1595"/>
    <w:rsid w:val="004F1D39"/>
    <w:rsid w:val="004F4027"/>
    <w:rsid w:val="004F50B9"/>
    <w:rsid w:val="004F5702"/>
    <w:rsid w:val="004F62A8"/>
    <w:rsid w:val="004F6CA9"/>
    <w:rsid w:val="00500D92"/>
    <w:rsid w:val="00500E99"/>
    <w:rsid w:val="00501002"/>
    <w:rsid w:val="00501B4D"/>
    <w:rsid w:val="005029BB"/>
    <w:rsid w:val="005035D0"/>
    <w:rsid w:val="00504685"/>
    <w:rsid w:val="00505D90"/>
    <w:rsid w:val="00507B63"/>
    <w:rsid w:val="005100CB"/>
    <w:rsid w:val="00510228"/>
    <w:rsid w:val="00514700"/>
    <w:rsid w:val="00515EC2"/>
    <w:rsid w:val="00520175"/>
    <w:rsid w:val="005204CE"/>
    <w:rsid w:val="005215C4"/>
    <w:rsid w:val="00521918"/>
    <w:rsid w:val="00522D48"/>
    <w:rsid w:val="005236F3"/>
    <w:rsid w:val="005238B3"/>
    <w:rsid w:val="0052459A"/>
    <w:rsid w:val="005246AE"/>
    <w:rsid w:val="00524B80"/>
    <w:rsid w:val="005268C4"/>
    <w:rsid w:val="00526910"/>
    <w:rsid w:val="0052762A"/>
    <w:rsid w:val="00527C99"/>
    <w:rsid w:val="00527FFE"/>
    <w:rsid w:val="0053452A"/>
    <w:rsid w:val="00540FEA"/>
    <w:rsid w:val="00541D21"/>
    <w:rsid w:val="0054216D"/>
    <w:rsid w:val="00543EF9"/>
    <w:rsid w:val="0054423D"/>
    <w:rsid w:val="00545F4A"/>
    <w:rsid w:val="00545FB7"/>
    <w:rsid w:val="005503B4"/>
    <w:rsid w:val="00550B12"/>
    <w:rsid w:val="005526DE"/>
    <w:rsid w:val="00552C6F"/>
    <w:rsid w:val="00552D34"/>
    <w:rsid w:val="00552F5D"/>
    <w:rsid w:val="005537CA"/>
    <w:rsid w:val="00553A55"/>
    <w:rsid w:val="00554E09"/>
    <w:rsid w:val="005554F3"/>
    <w:rsid w:val="00555550"/>
    <w:rsid w:val="005571B9"/>
    <w:rsid w:val="005573F9"/>
    <w:rsid w:val="0056183F"/>
    <w:rsid w:val="00562370"/>
    <w:rsid w:val="00562E90"/>
    <w:rsid w:val="00564D5F"/>
    <w:rsid w:val="005661C4"/>
    <w:rsid w:val="0056783C"/>
    <w:rsid w:val="005678FF"/>
    <w:rsid w:val="005704E6"/>
    <w:rsid w:val="00570880"/>
    <w:rsid w:val="005721F1"/>
    <w:rsid w:val="00574225"/>
    <w:rsid w:val="00574DE9"/>
    <w:rsid w:val="00574F14"/>
    <w:rsid w:val="0057672C"/>
    <w:rsid w:val="00582074"/>
    <w:rsid w:val="00582270"/>
    <w:rsid w:val="005856AE"/>
    <w:rsid w:val="00585FB8"/>
    <w:rsid w:val="00590C8F"/>
    <w:rsid w:val="00592B2F"/>
    <w:rsid w:val="005936E3"/>
    <w:rsid w:val="00596926"/>
    <w:rsid w:val="005972C2"/>
    <w:rsid w:val="005A05F2"/>
    <w:rsid w:val="005A08E2"/>
    <w:rsid w:val="005A0A2F"/>
    <w:rsid w:val="005A0A5C"/>
    <w:rsid w:val="005A0E66"/>
    <w:rsid w:val="005A1258"/>
    <w:rsid w:val="005A29D1"/>
    <w:rsid w:val="005A2C79"/>
    <w:rsid w:val="005A2F24"/>
    <w:rsid w:val="005A308A"/>
    <w:rsid w:val="005A33B0"/>
    <w:rsid w:val="005A62C5"/>
    <w:rsid w:val="005A62EB"/>
    <w:rsid w:val="005A6E56"/>
    <w:rsid w:val="005A6F5D"/>
    <w:rsid w:val="005B1006"/>
    <w:rsid w:val="005B2BF9"/>
    <w:rsid w:val="005B4C04"/>
    <w:rsid w:val="005B579F"/>
    <w:rsid w:val="005B5FB1"/>
    <w:rsid w:val="005B61A8"/>
    <w:rsid w:val="005B6B92"/>
    <w:rsid w:val="005B7BCD"/>
    <w:rsid w:val="005B7CDA"/>
    <w:rsid w:val="005C04D0"/>
    <w:rsid w:val="005C29F6"/>
    <w:rsid w:val="005C4234"/>
    <w:rsid w:val="005C43BE"/>
    <w:rsid w:val="005C47E4"/>
    <w:rsid w:val="005C5026"/>
    <w:rsid w:val="005C5465"/>
    <w:rsid w:val="005C66B5"/>
    <w:rsid w:val="005C6C80"/>
    <w:rsid w:val="005C7109"/>
    <w:rsid w:val="005C735A"/>
    <w:rsid w:val="005C7E52"/>
    <w:rsid w:val="005D09D4"/>
    <w:rsid w:val="005D0DAC"/>
    <w:rsid w:val="005D0E04"/>
    <w:rsid w:val="005D27F5"/>
    <w:rsid w:val="005D3F18"/>
    <w:rsid w:val="005D4D63"/>
    <w:rsid w:val="005D5BA6"/>
    <w:rsid w:val="005D7CEB"/>
    <w:rsid w:val="005D7F63"/>
    <w:rsid w:val="005E0945"/>
    <w:rsid w:val="005E15A6"/>
    <w:rsid w:val="005E1E74"/>
    <w:rsid w:val="005E201D"/>
    <w:rsid w:val="005E20DF"/>
    <w:rsid w:val="005E2865"/>
    <w:rsid w:val="005E290F"/>
    <w:rsid w:val="005E2FDB"/>
    <w:rsid w:val="005E3A6A"/>
    <w:rsid w:val="005E3FCF"/>
    <w:rsid w:val="005F0B35"/>
    <w:rsid w:val="005F1C6A"/>
    <w:rsid w:val="005F289F"/>
    <w:rsid w:val="005F2B92"/>
    <w:rsid w:val="005F3AEB"/>
    <w:rsid w:val="005F3BC2"/>
    <w:rsid w:val="005F4AE4"/>
    <w:rsid w:val="005F5162"/>
    <w:rsid w:val="005F54DD"/>
    <w:rsid w:val="005F78FA"/>
    <w:rsid w:val="00600958"/>
    <w:rsid w:val="00601349"/>
    <w:rsid w:val="0060293B"/>
    <w:rsid w:val="0060374A"/>
    <w:rsid w:val="00605357"/>
    <w:rsid w:val="0060678E"/>
    <w:rsid w:val="0061009F"/>
    <w:rsid w:val="00614752"/>
    <w:rsid w:val="006150C5"/>
    <w:rsid w:val="00615213"/>
    <w:rsid w:val="00615679"/>
    <w:rsid w:val="006202FF"/>
    <w:rsid w:val="0062264F"/>
    <w:rsid w:val="006226F9"/>
    <w:rsid w:val="00622BBC"/>
    <w:rsid w:val="00623193"/>
    <w:rsid w:val="00625F04"/>
    <w:rsid w:val="00627A76"/>
    <w:rsid w:val="00627BC5"/>
    <w:rsid w:val="006313D5"/>
    <w:rsid w:val="0063289D"/>
    <w:rsid w:val="00632F1B"/>
    <w:rsid w:val="00634835"/>
    <w:rsid w:val="006363BF"/>
    <w:rsid w:val="006364CB"/>
    <w:rsid w:val="00636EC2"/>
    <w:rsid w:val="0064033F"/>
    <w:rsid w:val="00642F44"/>
    <w:rsid w:val="006446D8"/>
    <w:rsid w:val="0064545D"/>
    <w:rsid w:val="006506EA"/>
    <w:rsid w:val="006513CF"/>
    <w:rsid w:val="00651704"/>
    <w:rsid w:val="00651B55"/>
    <w:rsid w:val="00651D90"/>
    <w:rsid w:val="00651EFE"/>
    <w:rsid w:val="0065348B"/>
    <w:rsid w:val="00653B1B"/>
    <w:rsid w:val="00654A22"/>
    <w:rsid w:val="00656A3B"/>
    <w:rsid w:val="006573C0"/>
    <w:rsid w:val="0066061E"/>
    <w:rsid w:val="0066120B"/>
    <w:rsid w:val="0066156D"/>
    <w:rsid w:val="006620DA"/>
    <w:rsid w:val="00662366"/>
    <w:rsid w:val="0066330D"/>
    <w:rsid w:val="00663871"/>
    <w:rsid w:val="00664FD7"/>
    <w:rsid w:val="00665574"/>
    <w:rsid w:val="00665712"/>
    <w:rsid w:val="00666599"/>
    <w:rsid w:val="00667CF0"/>
    <w:rsid w:val="0067068D"/>
    <w:rsid w:val="00670A37"/>
    <w:rsid w:val="00671411"/>
    <w:rsid w:val="00674C4C"/>
    <w:rsid w:val="00677F16"/>
    <w:rsid w:val="006805BE"/>
    <w:rsid w:val="00681A96"/>
    <w:rsid w:val="00681EF0"/>
    <w:rsid w:val="0068230C"/>
    <w:rsid w:val="00682989"/>
    <w:rsid w:val="0068464A"/>
    <w:rsid w:val="006853E5"/>
    <w:rsid w:val="0068549D"/>
    <w:rsid w:val="00690BED"/>
    <w:rsid w:val="006913CB"/>
    <w:rsid w:val="00692940"/>
    <w:rsid w:val="00692A69"/>
    <w:rsid w:val="0069507E"/>
    <w:rsid w:val="0069511E"/>
    <w:rsid w:val="00696830"/>
    <w:rsid w:val="006A30CF"/>
    <w:rsid w:val="006A33E1"/>
    <w:rsid w:val="006A3DD1"/>
    <w:rsid w:val="006A5652"/>
    <w:rsid w:val="006A632B"/>
    <w:rsid w:val="006A79B9"/>
    <w:rsid w:val="006B0A04"/>
    <w:rsid w:val="006B0C6B"/>
    <w:rsid w:val="006B0DCA"/>
    <w:rsid w:val="006B24EB"/>
    <w:rsid w:val="006B32C0"/>
    <w:rsid w:val="006B358F"/>
    <w:rsid w:val="006B3718"/>
    <w:rsid w:val="006B38B6"/>
    <w:rsid w:val="006B533C"/>
    <w:rsid w:val="006B6BA4"/>
    <w:rsid w:val="006B705F"/>
    <w:rsid w:val="006B70E7"/>
    <w:rsid w:val="006C0F94"/>
    <w:rsid w:val="006C1262"/>
    <w:rsid w:val="006C2456"/>
    <w:rsid w:val="006C32F7"/>
    <w:rsid w:val="006C3F14"/>
    <w:rsid w:val="006C4D7D"/>
    <w:rsid w:val="006C4FAF"/>
    <w:rsid w:val="006C548C"/>
    <w:rsid w:val="006C5D27"/>
    <w:rsid w:val="006C5F84"/>
    <w:rsid w:val="006C607E"/>
    <w:rsid w:val="006C6843"/>
    <w:rsid w:val="006C75B6"/>
    <w:rsid w:val="006D03E1"/>
    <w:rsid w:val="006D4EAB"/>
    <w:rsid w:val="006E0E50"/>
    <w:rsid w:val="006E18D5"/>
    <w:rsid w:val="006E1D98"/>
    <w:rsid w:val="006E29B1"/>
    <w:rsid w:val="006E398B"/>
    <w:rsid w:val="006E4134"/>
    <w:rsid w:val="006E496C"/>
    <w:rsid w:val="006E525F"/>
    <w:rsid w:val="006E5498"/>
    <w:rsid w:val="006E593D"/>
    <w:rsid w:val="006F112B"/>
    <w:rsid w:val="006F198D"/>
    <w:rsid w:val="006F32DA"/>
    <w:rsid w:val="006F3704"/>
    <w:rsid w:val="006F539A"/>
    <w:rsid w:val="006F7556"/>
    <w:rsid w:val="00701725"/>
    <w:rsid w:val="0070222A"/>
    <w:rsid w:val="0070308F"/>
    <w:rsid w:val="00703421"/>
    <w:rsid w:val="007048F7"/>
    <w:rsid w:val="00705B52"/>
    <w:rsid w:val="007060AF"/>
    <w:rsid w:val="00712781"/>
    <w:rsid w:val="0071435E"/>
    <w:rsid w:val="007155E9"/>
    <w:rsid w:val="00715CDB"/>
    <w:rsid w:val="00716985"/>
    <w:rsid w:val="00717FD1"/>
    <w:rsid w:val="00720979"/>
    <w:rsid w:val="00720D89"/>
    <w:rsid w:val="00721FDD"/>
    <w:rsid w:val="00722D9F"/>
    <w:rsid w:val="007236F4"/>
    <w:rsid w:val="00723EC4"/>
    <w:rsid w:val="00726ACA"/>
    <w:rsid w:val="00727A4F"/>
    <w:rsid w:val="00727CEA"/>
    <w:rsid w:val="007326FF"/>
    <w:rsid w:val="00732835"/>
    <w:rsid w:val="00732ABF"/>
    <w:rsid w:val="00734EA2"/>
    <w:rsid w:val="007354C0"/>
    <w:rsid w:val="00735878"/>
    <w:rsid w:val="00735C80"/>
    <w:rsid w:val="00736822"/>
    <w:rsid w:val="0073682C"/>
    <w:rsid w:val="00736C94"/>
    <w:rsid w:val="00737047"/>
    <w:rsid w:val="00741B39"/>
    <w:rsid w:val="007436E5"/>
    <w:rsid w:val="00744F05"/>
    <w:rsid w:val="00746093"/>
    <w:rsid w:val="00746406"/>
    <w:rsid w:val="00747ECC"/>
    <w:rsid w:val="00750C13"/>
    <w:rsid w:val="007523D6"/>
    <w:rsid w:val="00753096"/>
    <w:rsid w:val="0075463D"/>
    <w:rsid w:val="007548B3"/>
    <w:rsid w:val="00755293"/>
    <w:rsid w:val="007573E5"/>
    <w:rsid w:val="0076073B"/>
    <w:rsid w:val="00760C1F"/>
    <w:rsid w:val="00760D32"/>
    <w:rsid w:val="007615FC"/>
    <w:rsid w:val="0076163A"/>
    <w:rsid w:val="007616DF"/>
    <w:rsid w:val="00763134"/>
    <w:rsid w:val="007644B6"/>
    <w:rsid w:val="00766C89"/>
    <w:rsid w:val="007702DD"/>
    <w:rsid w:val="0077101E"/>
    <w:rsid w:val="00771D2B"/>
    <w:rsid w:val="00772481"/>
    <w:rsid w:val="00774553"/>
    <w:rsid w:val="00774F83"/>
    <w:rsid w:val="007766FF"/>
    <w:rsid w:val="00777FBC"/>
    <w:rsid w:val="00781137"/>
    <w:rsid w:val="00781268"/>
    <w:rsid w:val="00782109"/>
    <w:rsid w:val="007828C4"/>
    <w:rsid w:val="00783295"/>
    <w:rsid w:val="007853A3"/>
    <w:rsid w:val="00785433"/>
    <w:rsid w:val="00787972"/>
    <w:rsid w:val="00791067"/>
    <w:rsid w:val="007917CC"/>
    <w:rsid w:val="00792A17"/>
    <w:rsid w:val="00795CBC"/>
    <w:rsid w:val="0079730A"/>
    <w:rsid w:val="0079787B"/>
    <w:rsid w:val="00797916"/>
    <w:rsid w:val="007A24FD"/>
    <w:rsid w:val="007A33C8"/>
    <w:rsid w:val="007A3E07"/>
    <w:rsid w:val="007A40FB"/>
    <w:rsid w:val="007A48D7"/>
    <w:rsid w:val="007A59E1"/>
    <w:rsid w:val="007A5DD6"/>
    <w:rsid w:val="007A6254"/>
    <w:rsid w:val="007A73B3"/>
    <w:rsid w:val="007A7B50"/>
    <w:rsid w:val="007A7FF0"/>
    <w:rsid w:val="007B0DD5"/>
    <w:rsid w:val="007B1AB5"/>
    <w:rsid w:val="007B247F"/>
    <w:rsid w:val="007B3C0B"/>
    <w:rsid w:val="007B4245"/>
    <w:rsid w:val="007B4C19"/>
    <w:rsid w:val="007B55D3"/>
    <w:rsid w:val="007B6D67"/>
    <w:rsid w:val="007C02D6"/>
    <w:rsid w:val="007C1785"/>
    <w:rsid w:val="007C17F3"/>
    <w:rsid w:val="007C2451"/>
    <w:rsid w:val="007C3092"/>
    <w:rsid w:val="007C3182"/>
    <w:rsid w:val="007C7225"/>
    <w:rsid w:val="007D0375"/>
    <w:rsid w:val="007D0AE4"/>
    <w:rsid w:val="007D3BB1"/>
    <w:rsid w:val="007D5F53"/>
    <w:rsid w:val="007D67CD"/>
    <w:rsid w:val="007D7D47"/>
    <w:rsid w:val="007D7EEC"/>
    <w:rsid w:val="007E049C"/>
    <w:rsid w:val="007E1F4E"/>
    <w:rsid w:val="007E2A3E"/>
    <w:rsid w:val="007E4509"/>
    <w:rsid w:val="007E4600"/>
    <w:rsid w:val="007E4FE4"/>
    <w:rsid w:val="007E5697"/>
    <w:rsid w:val="007E5837"/>
    <w:rsid w:val="007E70FD"/>
    <w:rsid w:val="007E73D1"/>
    <w:rsid w:val="007F275B"/>
    <w:rsid w:val="007F34D5"/>
    <w:rsid w:val="007F4105"/>
    <w:rsid w:val="007F5152"/>
    <w:rsid w:val="007F6955"/>
    <w:rsid w:val="00802E03"/>
    <w:rsid w:val="008052DE"/>
    <w:rsid w:val="00805A40"/>
    <w:rsid w:val="008062B1"/>
    <w:rsid w:val="00806373"/>
    <w:rsid w:val="0080655E"/>
    <w:rsid w:val="00806B06"/>
    <w:rsid w:val="00806B13"/>
    <w:rsid w:val="00806D19"/>
    <w:rsid w:val="00812453"/>
    <w:rsid w:val="00812BAB"/>
    <w:rsid w:val="00812BB7"/>
    <w:rsid w:val="00812C0A"/>
    <w:rsid w:val="00813060"/>
    <w:rsid w:val="00813466"/>
    <w:rsid w:val="00813CD0"/>
    <w:rsid w:val="00814C9F"/>
    <w:rsid w:val="008158C1"/>
    <w:rsid w:val="00816209"/>
    <w:rsid w:val="008213C9"/>
    <w:rsid w:val="00821430"/>
    <w:rsid w:val="0082367B"/>
    <w:rsid w:val="00823F15"/>
    <w:rsid w:val="00824C05"/>
    <w:rsid w:val="00825B93"/>
    <w:rsid w:val="00826222"/>
    <w:rsid w:val="00827113"/>
    <w:rsid w:val="00827A43"/>
    <w:rsid w:val="0083380D"/>
    <w:rsid w:val="0083473B"/>
    <w:rsid w:val="008368C3"/>
    <w:rsid w:val="00836D2D"/>
    <w:rsid w:val="00836F97"/>
    <w:rsid w:val="00840551"/>
    <w:rsid w:val="008408C2"/>
    <w:rsid w:val="008449DA"/>
    <w:rsid w:val="00844EA5"/>
    <w:rsid w:val="00844FB7"/>
    <w:rsid w:val="008463DC"/>
    <w:rsid w:val="00846699"/>
    <w:rsid w:val="00847238"/>
    <w:rsid w:val="00850127"/>
    <w:rsid w:val="00850786"/>
    <w:rsid w:val="00850817"/>
    <w:rsid w:val="008516DB"/>
    <w:rsid w:val="00851C2D"/>
    <w:rsid w:val="00852077"/>
    <w:rsid w:val="0085396F"/>
    <w:rsid w:val="00854DB7"/>
    <w:rsid w:val="00856D04"/>
    <w:rsid w:val="008604FA"/>
    <w:rsid w:val="00860F8C"/>
    <w:rsid w:val="0086158B"/>
    <w:rsid w:val="00861A17"/>
    <w:rsid w:val="00862267"/>
    <w:rsid w:val="008624F4"/>
    <w:rsid w:val="0086293C"/>
    <w:rsid w:val="008629B1"/>
    <w:rsid w:val="00864D07"/>
    <w:rsid w:val="00865700"/>
    <w:rsid w:val="00865B1E"/>
    <w:rsid w:val="00865CC4"/>
    <w:rsid w:val="008663E5"/>
    <w:rsid w:val="00866FA6"/>
    <w:rsid w:val="008678FF"/>
    <w:rsid w:val="00867A2B"/>
    <w:rsid w:val="00870700"/>
    <w:rsid w:val="008709E4"/>
    <w:rsid w:val="00870D65"/>
    <w:rsid w:val="00871E97"/>
    <w:rsid w:val="008734C3"/>
    <w:rsid w:val="00873A5F"/>
    <w:rsid w:val="0087522D"/>
    <w:rsid w:val="008767AF"/>
    <w:rsid w:val="008800DB"/>
    <w:rsid w:val="008807FB"/>
    <w:rsid w:val="00880B11"/>
    <w:rsid w:val="00881DE4"/>
    <w:rsid w:val="0088225A"/>
    <w:rsid w:val="008828A3"/>
    <w:rsid w:val="008837BD"/>
    <w:rsid w:val="0088381F"/>
    <w:rsid w:val="00883B0A"/>
    <w:rsid w:val="00886796"/>
    <w:rsid w:val="00886AD2"/>
    <w:rsid w:val="00886EBE"/>
    <w:rsid w:val="00887DC9"/>
    <w:rsid w:val="00890AA0"/>
    <w:rsid w:val="00890B39"/>
    <w:rsid w:val="0089410B"/>
    <w:rsid w:val="0089497C"/>
    <w:rsid w:val="00895B01"/>
    <w:rsid w:val="00895C85"/>
    <w:rsid w:val="00896A2D"/>
    <w:rsid w:val="00897904"/>
    <w:rsid w:val="008A1872"/>
    <w:rsid w:val="008A235B"/>
    <w:rsid w:val="008A24F9"/>
    <w:rsid w:val="008A3BFF"/>
    <w:rsid w:val="008A7E83"/>
    <w:rsid w:val="008B6550"/>
    <w:rsid w:val="008C0AE2"/>
    <w:rsid w:val="008C1811"/>
    <w:rsid w:val="008C1D30"/>
    <w:rsid w:val="008C305A"/>
    <w:rsid w:val="008C4599"/>
    <w:rsid w:val="008C58A9"/>
    <w:rsid w:val="008C6057"/>
    <w:rsid w:val="008C6818"/>
    <w:rsid w:val="008C6FD4"/>
    <w:rsid w:val="008C7B0A"/>
    <w:rsid w:val="008D021F"/>
    <w:rsid w:val="008D057D"/>
    <w:rsid w:val="008D09AD"/>
    <w:rsid w:val="008D1276"/>
    <w:rsid w:val="008D1402"/>
    <w:rsid w:val="008D1EDA"/>
    <w:rsid w:val="008D2104"/>
    <w:rsid w:val="008D293A"/>
    <w:rsid w:val="008D3F12"/>
    <w:rsid w:val="008D547A"/>
    <w:rsid w:val="008D663C"/>
    <w:rsid w:val="008D7335"/>
    <w:rsid w:val="008D7798"/>
    <w:rsid w:val="008D7804"/>
    <w:rsid w:val="008E01D7"/>
    <w:rsid w:val="008E123C"/>
    <w:rsid w:val="008E2D94"/>
    <w:rsid w:val="008E4AE6"/>
    <w:rsid w:val="008E649F"/>
    <w:rsid w:val="008E6925"/>
    <w:rsid w:val="008E7147"/>
    <w:rsid w:val="008F262C"/>
    <w:rsid w:val="008F400C"/>
    <w:rsid w:val="008F4AE6"/>
    <w:rsid w:val="008F54C9"/>
    <w:rsid w:val="008F56A6"/>
    <w:rsid w:val="008F6CF1"/>
    <w:rsid w:val="00901E3D"/>
    <w:rsid w:val="00902C50"/>
    <w:rsid w:val="009044DD"/>
    <w:rsid w:val="00905EC1"/>
    <w:rsid w:val="00910A15"/>
    <w:rsid w:val="00911171"/>
    <w:rsid w:val="00911840"/>
    <w:rsid w:val="0091230A"/>
    <w:rsid w:val="0091394D"/>
    <w:rsid w:val="009143A4"/>
    <w:rsid w:val="009149E2"/>
    <w:rsid w:val="00914B21"/>
    <w:rsid w:val="00915C71"/>
    <w:rsid w:val="00916A64"/>
    <w:rsid w:val="00916C5E"/>
    <w:rsid w:val="00917529"/>
    <w:rsid w:val="009177D4"/>
    <w:rsid w:val="00917984"/>
    <w:rsid w:val="00920897"/>
    <w:rsid w:val="00920AC7"/>
    <w:rsid w:val="00921386"/>
    <w:rsid w:val="00922765"/>
    <w:rsid w:val="00922D89"/>
    <w:rsid w:val="0092342B"/>
    <w:rsid w:val="00925950"/>
    <w:rsid w:val="0092699C"/>
    <w:rsid w:val="00926B1C"/>
    <w:rsid w:val="0092770E"/>
    <w:rsid w:val="009278FB"/>
    <w:rsid w:val="00930A5B"/>
    <w:rsid w:val="0093190D"/>
    <w:rsid w:val="009342F1"/>
    <w:rsid w:val="00935B93"/>
    <w:rsid w:val="0093721E"/>
    <w:rsid w:val="009373E9"/>
    <w:rsid w:val="00937C0D"/>
    <w:rsid w:val="00937F17"/>
    <w:rsid w:val="0094213B"/>
    <w:rsid w:val="009424D2"/>
    <w:rsid w:val="009432C8"/>
    <w:rsid w:val="00943795"/>
    <w:rsid w:val="00943CF3"/>
    <w:rsid w:val="0094453D"/>
    <w:rsid w:val="00945B69"/>
    <w:rsid w:val="009510A7"/>
    <w:rsid w:val="009516E3"/>
    <w:rsid w:val="009518C4"/>
    <w:rsid w:val="00952972"/>
    <w:rsid w:val="00952E84"/>
    <w:rsid w:val="009531DB"/>
    <w:rsid w:val="00954297"/>
    <w:rsid w:val="00955B0E"/>
    <w:rsid w:val="00956A44"/>
    <w:rsid w:val="00960769"/>
    <w:rsid w:val="00960D06"/>
    <w:rsid w:val="0096136C"/>
    <w:rsid w:val="00961980"/>
    <w:rsid w:val="00963902"/>
    <w:rsid w:val="00964386"/>
    <w:rsid w:val="009651F5"/>
    <w:rsid w:val="009660AE"/>
    <w:rsid w:val="00966C33"/>
    <w:rsid w:val="00966D57"/>
    <w:rsid w:val="00972E8E"/>
    <w:rsid w:val="009732E2"/>
    <w:rsid w:val="00974FE9"/>
    <w:rsid w:val="00975ADF"/>
    <w:rsid w:val="00976851"/>
    <w:rsid w:val="009769AB"/>
    <w:rsid w:val="00977170"/>
    <w:rsid w:val="00977DE5"/>
    <w:rsid w:val="009815E6"/>
    <w:rsid w:val="00981C47"/>
    <w:rsid w:val="009827E4"/>
    <w:rsid w:val="00982DB1"/>
    <w:rsid w:val="009831FD"/>
    <w:rsid w:val="00983206"/>
    <w:rsid w:val="00985072"/>
    <w:rsid w:val="00985AE8"/>
    <w:rsid w:val="00985CBD"/>
    <w:rsid w:val="00986FE2"/>
    <w:rsid w:val="0099090B"/>
    <w:rsid w:val="00990A4B"/>
    <w:rsid w:val="0099338A"/>
    <w:rsid w:val="0099573C"/>
    <w:rsid w:val="00995A8E"/>
    <w:rsid w:val="00997D3E"/>
    <w:rsid w:val="009A01AB"/>
    <w:rsid w:val="009A0A7B"/>
    <w:rsid w:val="009A13F4"/>
    <w:rsid w:val="009A1A6C"/>
    <w:rsid w:val="009A21B3"/>
    <w:rsid w:val="009A3D4E"/>
    <w:rsid w:val="009A41FC"/>
    <w:rsid w:val="009A5025"/>
    <w:rsid w:val="009A51C2"/>
    <w:rsid w:val="009A589A"/>
    <w:rsid w:val="009A5ABE"/>
    <w:rsid w:val="009A5DF3"/>
    <w:rsid w:val="009A6048"/>
    <w:rsid w:val="009A6AAC"/>
    <w:rsid w:val="009B14D5"/>
    <w:rsid w:val="009B270F"/>
    <w:rsid w:val="009B3324"/>
    <w:rsid w:val="009B5B4B"/>
    <w:rsid w:val="009B62BA"/>
    <w:rsid w:val="009B778B"/>
    <w:rsid w:val="009C10B6"/>
    <w:rsid w:val="009C1FDD"/>
    <w:rsid w:val="009C351D"/>
    <w:rsid w:val="009C407F"/>
    <w:rsid w:val="009C4781"/>
    <w:rsid w:val="009C5A9E"/>
    <w:rsid w:val="009C5FFD"/>
    <w:rsid w:val="009C611E"/>
    <w:rsid w:val="009C6671"/>
    <w:rsid w:val="009C6B09"/>
    <w:rsid w:val="009D1C7A"/>
    <w:rsid w:val="009D23D3"/>
    <w:rsid w:val="009D2F4B"/>
    <w:rsid w:val="009D6939"/>
    <w:rsid w:val="009D7BCC"/>
    <w:rsid w:val="009E1ADC"/>
    <w:rsid w:val="009E2B3E"/>
    <w:rsid w:val="009E37B0"/>
    <w:rsid w:val="009E441D"/>
    <w:rsid w:val="009E462F"/>
    <w:rsid w:val="009F01AD"/>
    <w:rsid w:val="009F1055"/>
    <w:rsid w:val="009F250A"/>
    <w:rsid w:val="009F625D"/>
    <w:rsid w:val="009F72B3"/>
    <w:rsid w:val="00A00CC2"/>
    <w:rsid w:val="00A011DF"/>
    <w:rsid w:val="00A05009"/>
    <w:rsid w:val="00A104CA"/>
    <w:rsid w:val="00A12D9F"/>
    <w:rsid w:val="00A13B4F"/>
    <w:rsid w:val="00A16294"/>
    <w:rsid w:val="00A20581"/>
    <w:rsid w:val="00A2095B"/>
    <w:rsid w:val="00A227B9"/>
    <w:rsid w:val="00A22C9A"/>
    <w:rsid w:val="00A2305F"/>
    <w:rsid w:val="00A2359D"/>
    <w:rsid w:val="00A23AC7"/>
    <w:rsid w:val="00A23BD3"/>
    <w:rsid w:val="00A23E2D"/>
    <w:rsid w:val="00A25BD3"/>
    <w:rsid w:val="00A2696C"/>
    <w:rsid w:val="00A272A9"/>
    <w:rsid w:val="00A30BCF"/>
    <w:rsid w:val="00A30D47"/>
    <w:rsid w:val="00A3200C"/>
    <w:rsid w:val="00A322C9"/>
    <w:rsid w:val="00A328C2"/>
    <w:rsid w:val="00A3597B"/>
    <w:rsid w:val="00A37003"/>
    <w:rsid w:val="00A37495"/>
    <w:rsid w:val="00A40CD1"/>
    <w:rsid w:val="00A41436"/>
    <w:rsid w:val="00A415F3"/>
    <w:rsid w:val="00A43531"/>
    <w:rsid w:val="00A44221"/>
    <w:rsid w:val="00A44232"/>
    <w:rsid w:val="00A452B9"/>
    <w:rsid w:val="00A45534"/>
    <w:rsid w:val="00A477C0"/>
    <w:rsid w:val="00A47AF2"/>
    <w:rsid w:val="00A52A28"/>
    <w:rsid w:val="00A52F27"/>
    <w:rsid w:val="00A53B3E"/>
    <w:rsid w:val="00A53B42"/>
    <w:rsid w:val="00A5400F"/>
    <w:rsid w:val="00A5460E"/>
    <w:rsid w:val="00A56793"/>
    <w:rsid w:val="00A57A02"/>
    <w:rsid w:val="00A6284A"/>
    <w:rsid w:val="00A62B7B"/>
    <w:rsid w:val="00A634C4"/>
    <w:rsid w:val="00A64046"/>
    <w:rsid w:val="00A65042"/>
    <w:rsid w:val="00A654DB"/>
    <w:rsid w:val="00A6645B"/>
    <w:rsid w:val="00A66F5C"/>
    <w:rsid w:val="00A672AD"/>
    <w:rsid w:val="00A676AC"/>
    <w:rsid w:val="00A75908"/>
    <w:rsid w:val="00A7608D"/>
    <w:rsid w:val="00A767B2"/>
    <w:rsid w:val="00A76EBB"/>
    <w:rsid w:val="00A76EDC"/>
    <w:rsid w:val="00A775CC"/>
    <w:rsid w:val="00A81892"/>
    <w:rsid w:val="00A81A5A"/>
    <w:rsid w:val="00A81B0E"/>
    <w:rsid w:val="00A83D28"/>
    <w:rsid w:val="00A8467F"/>
    <w:rsid w:val="00A85F0C"/>
    <w:rsid w:val="00A8724F"/>
    <w:rsid w:val="00A87258"/>
    <w:rsid w:val="00A90BBB"/>
    <w:rsid w:val="00A92114"/>
    <w:rsid w:val="00A92EE9"/>
    <w:rsid w:val="00A94E75"/>
    <w:rsid w:val="00A951C2"/>
    <w:rsid w:val="00A95451"/>
    <w:rsid w:val="00A95522"/>
    <w:rsid w:val="00A9564F"/>
    <w:rsid w:val="00A96391"/>
    <w:rsid w:val="00A97B9F"/>
    <w:rsid w:val="00AA013A"/>
    <w:rsid w:val="00AA01BC"/>
    <w:rsid w:val="00AA0A7D"/>
    <w:rsid w:val="00AA14AA"/>
    <w:rsid w:val="00AA2328"/>
    <w:rsid w:val="00AA33D8"/>
    <w:rsid w:val="00AA3726"/>
    <w:rsid w:val="00AA400D"/>
    <w:rsid w:val="00AA40C5"/>
    <w:rsid w:val="00AA4EC5"/>
    <w:rsid w:val="00AA5338"/>
    <w:rsid w:val="00AA5363"/>
    <w:rsid w:val="00AA5982"/>
    <w:rsid w:val="00AA5AB5"/>
    <w:rsid w:val="00AA6725"/>
    <w:rsid w:val="00AA6E2D"/>
    <w:rsid w:val="00AA769A"/>
    <w:rsid w:val="00AA78A8"/>
    <w:rsid w:val="00AA7B11"/>
    <w:rsid w:val="00AB049A"/>
    <w:rsid w:val="00AB189E"/>
    <w:rsid w:val="00AB293B"/>
    <w:rsid w:val="00AB2DB5"/>
    <w:rsid w:val="00AB3866"/>
    <w:rsid w:val="00AB4B35"/>
    <w:rsid w:val="00AB7397"/>
    <w:rsid w:val="00AC0387"/>
    <w:rsid w:val="00AC1E17"/>
    <w:rsid w:val="00AC2AB2"/>
    <w:rsid w:val="00AC46F8"/>
    <w:rsid w:val="00AC5A11"/>
    <w:rsid w:val="00AC62F4"/>
    <w:rsid w:val="00AC6B24"/>
    <w:rsid w:val="00AC7F52"/>
    <w:rsid w:val="00AD1D9D"/>
    <w:rsid w:val="00AD1F0A"/>
    <w:rsid w:val="00AD2934"/>
    <w:rsid w:val="00AD39B9"/>
    <w:rsid w:val="00AD49B8"/>
    <w:rsid w:val="00AD4A83"/>
    <w:rsid w:val="00AD5C25"/>
    <w:rsid w:val="00AD6B86"/>
    <w:rsid w:val="00AE0BA6"/>
    <w:rsid w:val="00AE24A3"/>
    <w:rsid w:val="00AE2D7F"/>
    <w:rsid w:val="00AE41E9"/>
    <w:rsid w:val="00AE42E9"/>
    <w:rsid w:val="00AE50E5"/>
    <w:rsid w:val="00AE51DD"/>
    <w:rsid w:val="00AE5418"/>
    <w:rsid w:val="00AE6B2E"/>
    <w:rsid w:val="00AE7B1D"/>
    <w:rsid w:val="00AF00A9"/>
    <w:rsid w:val="00AF1E4A"/>
    <w:rsid w:val="00AF1F76"/>
    <w:rsid w:val="00AF2717"/>
    <w:rsid w:val="00AF60A6"/>
    <w:rsid w:val="00AF6349"/>
    <w:rsid w:val="00AF7B2F"/>
    <w:rsid w:val="00AF7E15"/>
    <w:rsid w:val="00B01810"/>
    <w:rsid w:val="00B041C9"/>
    <w:rsid w:val="00B04749"/>
    <w:rsid w:val="00B04D12"/>
    <w:rsid w:val="00B1031D"/>
    <w:rsid w:val="00B1069D"/>
    <w:rsid w:val="00B10B49"/>
    <w:rsid w:val="00B11807"/>
    <w:rsid w:val="00B12516"/>
    <w:rsid w:val="00B15CB9"/>
    <w:rsid w:val="00B15F88"/>
    <w:rsid w:val="00B16D1E"/>
    <w:rsid w:val="00B17658"/>
    <w:rsid w:val="00B17728"/>
    <w:rsid w:val="00B20BFB"/>
    <w:rsid w:val="00B22E36"/>
    <w:rsid w:val="00B23422"/>
    <w:rsid w:val="00B24373"/>
    <w:rsid w:val="00B247C8"/>
    <w:rsid w:val="00B2588B"/>
    <w:rsid w:val="00B25B96"/>
    <w:rsid w:val="00B271BE"/>
    <w:rsid w:val="00B27DEC"/>
    <w:rsid w:val="00B30370"/>
    <w:rsid w:val="00B31D10"/>
    <w:rsid w:val="00B31EEB"/>
    <w:rsid w:val="00B32C3A"/>
    <w:rsid w:val="00B3301E"/>
    <w:rsid w:val="00B344ED"/>
    <w:rsid w:val="00B35833"/>
    <w:rsid w:val="00B35C77"/>
    <w:rsid w:val="00B35C9D"/>
    <w:rsid w:val="00B364D6"/>
    <w:rsid w:val="00B36714"/>
    <w:rsid w:val="00B373CF"/>
    <w:rsid w:val="00B3788F"/>
    <w:rsid w:val="00B37A98"/>
    <w:rsid w:val="00B37DD9"/>
    <w:rsid w:val="00B4082F"/>
    <w:rsid w:val="00B40986"/>
    <w:rsid w:val="00B419CD"/>
    <w:rsid w:val="00B422F4"/>
    <w:rsid w:val="00B42EF3"/>
    <w:rsid w:val="00B431B2"/>
    <w:rsid w:val="00B432E8"/>
    <w:rsid w:val="00B4504D"/>
    <w:rsid w:val="00B45125"/>
    <w:rsid w:val="00B453CD"/>
    <w:rsid w:val="00B4584D"/>
    <w:rsid w:val="00B459C8"/>
    <w:rsid w:val="00B45C1A"/>
    <w:rsid w:val="00B46705"/>
    <w:rsid w:val="00B46CDB"/>
    <w:rsid w:val="00B4723C"/>
    <w:rsid w:val="00B47602"/>
    <w:rsid w:val="00B478B3"/>
    <w:rsid w:val="00B50286"/>
    <w:rsid w:val="00B52CE0"/>
    <w:rsid w:val="00B52FED"/>
    <w:rsid w:val="00B54C5B"/>
    <w:rsid w:val="00B56A34"/>
    <w:rsid w:val="00B5771F"/>
    <w:rsid w:val="00B600C6"/>
    <w:rsid w:val="00B605A1"/>
    <w:rsid w:val="00B618F6"/>
    <w:rsid w:val="00B629C7"/>
    <w:rsid w:val="00B6378F"/>
    <w:rsid w:val="00B637C9"/>
    <w:rsid w:val="00B67366"/>
    <w:rsid w:val="00B67DA6"/>
    <w:rsid w:val="00B71843"/>
    <w:rsid w:val="00B72B21"/>
    <w:rsid w:val="00B7355B"/>
    <w:rsid w:val="00B73C04"/>
    <w:rsid w:val="00B748A6"/>
    <w:rsid w:val="00B75269"/>
    <w:rsid w:val="00B752DA"/>
    <w:rsid w:val="00B753CC"/>
    <w:rsid w:val="00B75C37"/>
    <w:rsid w:val="00B76BF9"/>
    <w:rsid w:val="00B76C55"/>
    <w:rsid w:val="00B77856"/>
    <w:rsid w:val="00B77953"/>
    <w:rsid w:val="00B77D7E"/>
    <w:rsid w:val="00B8001C"/>
    <w:rsid w:val="00B820BD"/>
    <w:rsid w:val="00B82F90"/>
    <w:rsid w:val="00B82FF1"/>
    <w:rsid w:val="00B832B0"/>
    <w:rsid w:val="00B83DC6"/>
    <w:rsid w:val="00B842D8"/>
    <w:rsid w:val="00B853A5"/>
    <w:rsid w:val="00B87CAD"/>
    <w:rsid w:val="00B9003F"/>
    <w:rsid w:val="00B95824"/>
    <w:rsid w:val="00B9609B"/>
    <w:rsid w:val="00B96FCF"/>
    <w:rsid w:val="00B972FC"/>
    <w:rsid w:val="00B978C5"/>
    <w:rsid w:val="00B97BA4"/>
    <w:rsid w:val="00BA0E38"/>
    <w:rsid w:val="00BA10D7"/>
    <w:rsid w:val="00BA17B9"/>
    <w:rsid w:val="00BA2FED"/>
    <w:rsid w:val="00BA38D5"/>
    <w:rsid w:val="00BA3CF8"/>
    <w:rsid w:val="00BA4096"/>
    <w:rsid w:val="00BA4C15"/>
    <w:rsid w:val="00BA7A69"/>
    <w:rsid w:val="00BB100F"/>
    <w:rsid w:val="00BB148D"/>
    <w:rsid w:val="00BB1A33"/>
    <w:rsid w:val="00BB1B02"/>
    <w:rsid w:val="00BB2ADE"/>
    <w:rsid w:val="00BB2D3B"/>
    <w:rsid w:val="00BB39D3"/>
    <w:rsid w:val="00BB4481"/>
    <w:rsid w:val="00BB4556"/>
    <w:rsid w:val="00BB4A33"/>
    <w:rsid w:val="00BB7923"/>
    <w:rsid w:val="00BC2181"/>
    <w:rsid w:val="00BC2A7B"/>
    <w:rsid w:val="00BC3A7A"/>
    <w:rsid w:val="00BC52B6"/>
    <w:rsid w:val="00BC5AF9"/>
    <w:rsid w:val="00BC7FA3"/>
    <w:rsid w:val="00BD257A"/>
    <w:rsid w:val="00BD276D"/>
    <w:rsid w:val="00BD3358"/>
    <w:rsid w:val="00BD4527"/>
    <w:rsid w:val="00BD63A0"/>
    <w:rsid w:val="00BD7DF9"/>
    <w:rsid w:val="00BE099B"/>
    <w:rsid w:val="00BE0B10"/>
    <w:rsid w:val="00BE0F16"/>
    <w:rsid w:val="00BE17D3"/>
    <w:rsid w:val="00BE1CAD"/>
    <w:rsid w:val="00BE23D4"/>
    <w:rsid w:val="00BE2E9C"/>
    <w:rsid w:val="00BE71AE"/>
    <w:rsid w:val="00BE7822"/>
    <w:rsid w:val="00BF4382"/>
    <w:rsid w:val="00BF472F"/>
    <w:rsid w:val="00BF61F2"/>
    <w:rsid w:val="00BF6376"/>
    <w:rsid w:val="00BF7270"/>
    <w:rsid w:val="00C00826"/>
    <w:rsid w:val="00C01176"/>
    <w:rsid w:val="00C019EA"/>
    <w:rsid w:val="00C01A4F"/>
    <w:rsid w:val="00C025EA"/>
    <w:rsid w:val="00C02685"/>
    <w:rsid w:val="00C02FEB"/>
    <w:rsid w:val="00C033DE"/>
    <w:rsid w:val="00C05167"/>
    <w:rsid w:val="00C0524A"/>
    <w:rsid w:val="00C05B34"/>
    <w:rsid w:val="00C07041"/>
    <w:rsid w:val="00C1041A"/>
    <w:rsid w:val="00C1062F"/>
    <w:rsid w:val="00C1087A"/>
    <w:rsid w:val="00C1456F"/>
    <w:rsid w:val="00C14EAB"/>
    <w:rsid w:val="00C14FC0"/>
    <w:rsid w:val="00C16D06"/>
    <w:rsid w:val="00C21A29"/>
    <w:rsid w:val="00C22AAE"/>
    <w:rsid w:val="00C232A0"/>
    <w:rsid w:val="00C24403"/>
    <w:rsid w:val="00C2449E"/>
    <w:rsid w:val="00C30AAB"/>
    <w:rsid w:val="00C32942"/>
    <w:rsid w:val="00C346CE"/>
    <w:rsid w:val="00C34AA0"/>
    <w:rsid w:val="00C36801"/>
    <w:rsid w:val="00C4086F"/>
    <w:rsid w:val="00C42901"/>
    <w:rsid w:val="00C439BC"/>
    <w:rsid w:val="00C44229"/>
    <w:rsid w:val="00C443BC"/>
    <w:rsid w:val="00C44628"/>
    <w:rsid w:val="00C45E2B"/>
    <w:rsid w:val="00C5234D"/>
    <w:rsid w:val="00C52888"/>
    <w:rsid w:val="00C52D34"/>
    <w:rsid w:val="00C53379"/>
    <w:rsid w:val="00C5445B"/>
    <w:rsid w:val="00C54952"/>
    <w:rsid w:val="00C54E57"/>
    <w:rsid w:val="00C55A01"/>
    <w:rsid w:val="00C624FB"/>
    <w:rsid w:val="00C6336D"/>
    <w:rsid w:val="00C637CF"/>
    <w:rsid w:val="00C63CD1"/>
    <w:rsid w:val="00C6428A"/>
    <w:rsid w:val="00C651B8"/>
    <w:rsid w:val="00C67CEC"/>
    <w:rsid w:val="00C72B13"/>
    <w:rsid w:val="00C73390"/>
    <w:rsid w:val="00C749A6"/>
    <w:rsid w:val="00C75304"/>
    <w:rsid w:val="00C75551"/>
    <w:rsid w:val="00C762D7"/>
    <w:rsid w:val="00C766F8"/>
    <w:rsid w:val="00C80983"/>
    <w:rsid w:val="00C83DC1"/>
    <w:rsid w:val="00C84389"/>
    <w:rsid w:val="00C8785D"/>
    <w:rsid w:val="00C9159C"/>
    <w:rsid w:val="00C9586F"/>
    <w:rsid w:val="00C969A7"/>
    <w:rsid w:val="00C96BC0"/>
    <w:rsid w:val="00C96DEE"/>
    <w:rsid w:val="00C96E1B"/>
    <w:rsid w:val="00C97190"/>
    <w:rsid w:val="00C978EC"/>
    <w:rsid w:val="00C97D19"/>
    <w:rsid w:val="00CA03C0"/>
    <w:rsid w:val="00CA1D55"/>
    <w:rsid w:val="00CA26A3"/>
    <w:rsid w:val="00CA3BCD"/>
    <w:rsid w:val="00CA5EC1"/>
    <w:rsid w:val="00CA5FB3"/>
    <w:rsid w:val="00CA76D1"/>
    <w:rsid w:val="00CA7D31"/>
    <w:rsid w:val="00CB18A9"/>
    <w:rsid w:val="00CB2269"/>
    <w:rsid w:val="00CB51FE"/>
    <w:rsid w:val="00CB5E03"/>
    <w:rsid w:val="00CB6EF2"/>
    <w:rsid w:val="00CB79C4"/>
    <w:rsid w:val="00CC2637"/>
    <w:rsid w:val="00CC2932"/>
    <w:rsid w:val="00CC2FAA"/>
    <w:rsid w:val="00CC3034"/>
    <w:rsid w:val="00CC31C1"/>
    <w:rsid w:val="00CC4FC3"/>
    <w:rsid w:val="00CC5B4B"/>
    <w:rsid w:val="00CD074C"/>
    <w:rsid w:val="00CD228E"/>
    <w:rsid w:val="00CD5024"/>
    <w:rsid w:val="00CD5785"/>
    <w:rsid w:val="00CD5B1D"/>
    <w:rsid w:val="00CD6111"/>
    <w:rsid w:val="00CD64D1"/>
    <w:rsid w:val="00CD6B5A"/>
    <w:rsid w:val="00CD7A4E"/>
    <w:rsid w:val="00CE000F"/>
    <w:rsid w:val="00CE0466"/>
    <w:rsid w:val="00CE0C4A"/>
    <w:rsid w:val="00CE2BDF"/>
    <w:rsid w:val="00CE3D56"/>
    <w:rsid w:val="00CE4FBF"/>
    <w:rsid w:val="00CE578B"/>
    <w:rsid w:val="00CE7094"/>
    <w:rsid w:val="00CF23B1"/>
    <w:rsid w:val="00CF40FB"/>
    <w:rsid w:val="00CF5F42"/>
    <w:rsid w:val="00CF6EE4"/>
    <w:rsid w:val="00CF792E"/>
    <w:rsid w:val="00CF7D6F"/>
    <w:rsid w:val="00CF7F23"/>
    <w:rsid w:val="00D0015F"/>
    <w:rsid w:val="00D0088F"/>
    <w:rsid w:val="00D00EFD"/>
    <w:rsid w:val="00D039C3"/>
    <w:rsid w:val="00D03F92"/>
    <w:rsid w:val="00D040B4"/>
    <w:rsid w:val="00D04FC3"/>
    <w:rsid w:val="00D04FE7"/>
    <w:rsid w:val="00D0534A"/>
    <w:rsid w:val="00D054D3"/>
    <w:rsid w:val="00D06AEE"/>
    <w:rsid w:val="00D10CBC"/>
    <w:rsid w:val="00D10F2B"/>
    <w:rsid w:val="00D1241F"/>
    <w:rsid w:val="00D13828"/>
    <w:rsid w:val="00D15740"/>
    <w:rsid w:val="00D161D6"/>
    <w:rsid w:val="00D20400"/>
    <w:rsid w:val="00D20FA2"/>
    <w:rsid w:val="00D2118F"/>
    <w:rsid w:val="00D216C8"/>
    <w:rsid w:val="00D239EE"/>
    <w:rsid w:val="00D2523E"/>
    <w:rsid w:val="00D258CB"/>
    <w:rsid w:val="00D264AF"/>
    <w:rsid w:val="00D301D7"/>
    <w:rsid w:val="00D301DC"/>
    <w:rsid w:val="00D329B0"/>
    <w:rsid w:val="00D334AB"/>
    <w:rsid w:val="00D33519"/>
    <w:rsid w:val="00D35F42"/>
    <w:rsid w:val="00D36AE6"/>
    <w:rsid w:val="00D41CE7"/>
    <w:rsid w:val="00D41E24"/>
    <w:rsid w:val="00D41E99"/>
    <w:rsid w:val="00D420D2"/>
    <w:rsid w:val="00D438FD"/>
    <w:rsid w:val="00D43AA1"/>
    <w:rsid w:val="00D44624"/>
    <w:rsid w:val="00D44ABF"/>
    <w:rsid w:val="00D44AD1"/>
    <w:rsid w:val="00D45A76"/>
    <w:rsid w:val="00D50FCA"/>
    <w:rsid w:val="00D511AF"/>
    <w:rsid w:val="00D511DB"/>
    <w:rsid w:val="00D52872"/>
    <w:rsid w:val="00D53CBF"/>
    <w:rsid w:val="00D545FD"/>
    <w:rsid w:val="00D5566D"/>
    <w:rsid w:val="00D559B4"/>
    <w:rsid w:val="00D55B45"/>
    <w:rsid w:val="00D56B86"/>
    <w:rsid w:val="00D57679"/>
    <w:rsid w:val="00D62587"/>
    <w:rsid w:val="00D6352B"/>
    <w:rsid w:val="00D63C55"/>
    <w:rsid w:val="00D6445E"/>
    <w:rsid w:val="00D64B86"/>
    <w:rsid w:val="00D6625E"/>
    <w:rsid w:val="00D67181"/>
    <w:rsid w:val="00D7016F"/>
    <w:rsid w:val="00D70BE7"/>
    <w:rsid w:val="00D734CF"/>
    <w:rsid w:val="00D73980"/>
    <w:rsid w:val="00D74D84"/>
    <w:rsid w:val="00D7613E"/>
    <w:rsid w:val="00D76ADA"/>
    <w:rsid w:val="00D770B4"/>
    <w:rsid w:val="00D77135"/>
    <w:rsid w:val="00D80343"/>
    <w:rsid w:val="00D80DCA"/>
    <w:rsid w:val="00D8136A"/>
    <w:rsid w:val="00D8226A"/>
    <w:rsid w:val="00D82D11"/>
    <w:rsid w:val="00D82E7D"/>
    <w:rsid w:val="00D830F8"/>
    <w:rsid w:val="00D83429"/>
    <w:rsid w:val="00D83C3C"/>
    <w:rsid w:val="00D84ED1"/>
    <w:rsid w:val="00D85453"/>
    <w:rsid w:val="00D868E1"/>
    <w:rsid w:val="00D87061"/>
    <w:rsid w:val="00D901C5"/>
    <w:rsid w:val="00D90E38"/>
    <w:rsid w:val="00D9105E"/>
    <w:rsid w:val="00D910FC"/>
    <w:rsid w:val="00D92C74"/>
    <w:rsid w:val="00D935EC"/>
    <w:rsid w:val="00D93773"/>
    <w:rsid w:val="00D9495F"/>
    <w:rsid w:val="00D969F7"/>
    <w:rsid w:val="00D97105"/>
    <w:rsid w:val="00D974A2"/>
    <w:rsid w:val="00D9787B"/>
    <w:rsid w:val="00DA0347"/>
    <w:rsid w:val="00DA10DD"/>
    <w:rsid w:val="00DA1622"/>
    <w:rsid w:val="00DA2962"/>
    <w:rsid w:val="00DA3E81"/>
    <w:rsid w:val="00DA45C1"/>
    <w:rsid w:val="00DA4A7E"/>
    <w:rsid w:val="00DA5730"/>
    <w:rsid w:val="00DA645E"/>
    <w:rsid w:val="00DA7AF2"/>
    <w:rsid w:val="00DA7B57"/>
    <w:rsid w:val="00DB15C6"/>
    <w:rsid w:val="00DB2310"/>
    <w:rsid w:val="00DB2FBF"/>
    <w:rsid w:val="00DB313F"/>
    <w:rsid w:val="00DB467A"/>
    <w:rsid w:val="00DB46D4"/>
    <w:rsid w:val="00DB49F5"/>
    <w:rsid w:val="00DB4C0E"/>
    <w:rsid w:val="00DB56B3"/>
    <w:rsid w:val="00DB6950"/>
    <w:rsid w:val="00DB769D"/>
    <w:rsid w:val="00DC0CF2"/>
    <w:rsid w:val="00DC274B"/>
    <w:rsid w:val="00DC28F7"/>
    <w:rsid w:val="00DC3575"/>
    <w:rsid w:val="00DC5823"/>
    <w:rsid w:val="00DC63BA"/>
    <w:rsid w:val="00DC7714"/>
    <w:rsid w:val="00DD00C1"/>
    <w:rsid w:val="00DD1628"/>
    <w:rsid w:val="00DD189A"/>
    <w:rsid w:val="00DD19CC"/>
    <w:rsid w:val="00DD3718"/>
    <w:rsid w:val="00DD44A3"/>
    <w:rsid w:val="00DD57D0"/>
    <w:rsid w:val="00DD63C3"/>
    <w:rsid w:val="00DE1B4D"/>
    <w:rsid w:val="00DE559F"/>
    <w:rsid w:val="00DE6BF3"/>
    <w:rsid w:val="00DE781C"/>
    <w:rsid w:val="00DF0519"/>
    <w:rsid w:val="00DF0598"/>
    <w:rsid w:val="00DF0674"/>
    <w:rsid w:val="00DF0846"/>
    <w:rsid w:val="00DF1BC8"/>
    <w:rsid w:val="00DF2BEF"/>
    <w:rsid w:val="00DF3F3E"/>
    <w:rsid w:val="00DF454C"/>
    <w:rsid w:val="00DF4D2D"/>
    <w:rsid w:val="00DF66DA"/>
    <w:rsid w:val="00DF6970"/>
    <w:rsid w:val="00DF7FCF"/>
    <w:rsid w:val="00E006B1"/>
    <w:rsid w:val="00E053B3"/>
    <w:rsid w:val="00E064A4"/>
    <w:rsid w:val="00E066AA"/>
    <w:rsid w:val="00E067D6"/>
    <w:rsid w:val="00E112D4"/>
    <w:rsid w:val="00E1135A"/>
    <w:rsid w:val="00E11879"/>
    <w:rsid w:val="00E16D4B"/>
    <w:rsid w:val="00E2422E"/>
    <w:rsid w:val="00E24483"/>
    <w:rsid w:val="00E24517"/>
    <w:rsid w:val="00E258F3"/>
    <w:rsid w:val="00E27340"/>
    <w:rsid w:val="00E27A07"/>
    <w:rsid w:val="00E319C6"/>
    <w:rsid w:val="00E33312"/>
    <w:rsid w:val="00E34377"/>
    <w:rsid w:val="00E34645"/>
    <w:rsid w:val="00E35F6B"/>
    <w:rsid w:val="00E379BC"/>
    <w:rsid w:val="00E37C57"/>
    <w:rsid w:val="00E4026C"/>
    <w:rsid w:val="00E418D5"/>
    <w:rsid w:val="00E41E1C"/>
    <w:rsid w:val="00E41F75"/>
    <w:rsid w:val="00E42E4D"/>
    <w:rsid w:val="00E446DB"/>
    <w:rsid w:val="00E52A94"/>
    <w:rsid w:val="00E5321B"/>
    <w:rsid w:val="00E53E93"/>
    <w:rsid w:val="00E5411E"/>
    <w:rsid w:val="00E545A9"/>
    <w:rsid w:val="00E56862"/>
    <w:rsid w:val="00E56BC1"/>
    <w:rsid w:val="00E575EF"/>
    <w:rsid w:val="00E57D98"/>
    <w:rsid w:val="00E57D9F"/>
    <w:rsid w:val="00E603B4"/>
    <w:rsid w:val="00E612D8"/>
    <w:rsid w:val="00E613AD"/>
    <w:rsid w:val="00E61B84"/>
    <w:rsid w:val="00E64ADA"/>
    <w:rsid w:val="00E70D35"/>
    <w:rsid w:val="00E721A1"/>
    <w:rsid w:val="00E72DC1"/>
    <w:rsid w:val="00E753FD"/>
    <w:rsid w:val="00E76682"/>
    <w:rsid w:val="00E77D08"/>
    <w:rsid w:val="00E80593"/>
    <w:rsid w:val="00E8110C"/>
    <w:rsid w:val="00E8127E"/>
    <w:rsid w:val="00E8184B"/>
    <w:rsid w:val="00E81B08"/>
    <w:rsid w:val="00E82470"/>
    <w:rsid w:val="00E828B8"/>
    <w:rsid w:val="00E82F4B"/>
    <w:rsid w:val="00E83256"/>
    <w:rsid w:val="00E841FB"/>
    <w:rsid w:val="00E85267"/>
    <w:rsid w:val="00E854E8"/>
    <w:rsid w:val="00E86534"/>
    <w:rsid w:val="00E903E6"/>
    <w:rsid w:val="00E90605"/>
    <w:rsid w:val="00E90A35"/>
    <w:rsid w:val="00E9139B"/>
    <w:rsid w:val="00E91D71"/>
    <w:rsid w:val="00E92825"/>
    <w:rsid w:val="00E93633"/>
    <w:rsid w:val="00E939C9"/>
    <w:rsid w:val="00E94DDD"/>
    <w:rsid w:val="00E95F18"/>
    <w:rsid w:val="00E9669D"/>
    <w:rsid w:val="00E979B2"/>
    <w:rsid w:val="00EA24ED"/>
    <w:rsid w:val="00EA2B19"/>
    <w:rsid w:val="00EA38A2"/>
    <w:rsid w:val="00EA3EB5"/>
    <w:rsid w:val="00EA49C8"/>
    <w:rsid w:val="00EA5A47"/>
    <w:rsid w:val="00EA7156"/>
    <w:rsid w:val="00EB0249"/>
    <w:rsid w:val="00EB0351"/>
    <w:rsid w:val="00EB0696"/>
    <w:rsid w:val="00EB18E1"/>
    <w:rsid w:val="00EB1DEB"/>
    <w:rsid w:val="00EB2478"/>
    <w:rsid w:val="00EB2A2A"/>
    <w:rsid w:val="00EB2BD9"/>
    <w:rsid w:val="00EB4098"/>
    <w:rsid w:val="00EB4F4E"/>
    <w:rsid w:val="00EB5232"/>
    <w:rsid w:val="00EB5709"/>
    <w:rsid w:val="00EB6A8E"/>
    <w:rsid w:val="00EB73F1"/>
    <w:rsid w:val="00EC06A7"/>
    <w:rsid w:val="00EC0E7F"/>
    <w:rsid w:val="00EC29E3"/>
    <w:rsid w:val="00EC2E8C"/>
    <w:rsid w:val="00EC4009"/>
    <w:rsid w:val="00EC440E"/>
    <w:rsid w:val="00EC6AE8"/>
    <w:rsid w:val="00EC6E39"/>
    <w:rsid w:val="00ED06CA"/>
    <w:rsid w:val="00ED161A"/>
    <w:rsid w:val="00ED1816"/>
    <w:rsid w:val="00ED2853"/>
    <w:rsid w:val="00ED4229"/>
    <w:rsid w:val="00ED64F3"/>
    <w:rsid w:val="00ED672C"/>
    <w:rsid w:val="00ED7480"/>
    <w:rsid w:val="00ED76A3"/>
    <w:rsid w:val="00EE10EE"/>
    <w:rsid w:val="00EE11D7"/>
    <w:rsid w:val="00EE21C0"/>
    <w:rsid w:val="00EE2328"/>
    <w:rsid w:val="00EE2699"/>
    <w:rsid w:val="00EE2ABC"/>
    <w:rsid w:val="00EE4478"/>
    <w:rsid w:val="00EE5DCA"/>
    <w:rsid w:val="00EE709A"/>
    <w:rsid w:val="00EE7BFF"/>
    <w:rsid w:val="00EF06CD"/>
    <w:rsid w:val="00EF0AE4"/>
    <w:rsid w:val="00EF1B68"/>
    <w:rsid w:val="00EF5548"/>
    <w:rsid w:val="00F003F4"/>
    <w:rsid w:val="00F00AB0"/>
    <w:rsid w:val="00F03141"/>
    <w:rsid w:val="00F046A8"/>
    <w:rsid w:val="00F04774"/>
    <w:rsid w:val="00F04AAC"/>
    <w:rsid w:val="00F05524"/>
    <w:rsid w:val="00F05865"/>
    <w:rsid w:val="00F05E9C"/>
    <w:rsid w:val="00F0642A"/>
    <w:rsid w:val="00F07B42"/>
    <w:rsid w:val="00F11583"/>
    <w:rsid w:val="00F1289C"/>
    <w:rsid w:val="00F12C70"/>
    <w:rsid w:val="00F1580F"/>
    <w:rsid w:val="00F15DDC"/>
    <w:rsid w:val="00F17284"/>
    <w:rsid w:val="00F17B6D"/>
    <w:rsid w:val="00F17CC9"/>
    <w:rsid w:val="00F23BDC"/>
    <w:rsid w:val="00F24B85"/>
    <w:rsid w:val="00F25146"/>
    <w:rsid w:val="00F26988"/>
    <w:rsid w:val="00F26C17"/>
    <w:rsid w:val="00F3088C"/>
    <w:rsid w:val="00F322B9"/>
    <w:rsid w:val="00F3351F"/>
    <w:rsid w:val="00F35A98"/>
    <w:rsid w:val="00F37735"/>
    <w:rsid w:val="00F37C01"/>
    <w:rsid w:val="00F4054F"/>
    <w:rsid w:val="00F40887"/>
    <w:rsid w:val="00F41B93"/>
    <w:rsid w:val="00F4229D"/>
    <w:rsid w:val="00F42E00"/>
    <w:rsid w:val="00F434E7"/>
    <w:rsid w:val="00F43A90"/>
    <w:rsid w:val="00F46102"/>
    <w:rsid w:val="00F46162"/>
    <w:rsid w:val="00F4668C"/>
    <w:rsid w:val="00F508FD"/>
    <w:rsid w:val="00F50943"/>
    <w:rsid w:val="00F51C95"/>
    <w:rsid w:val="00F52A8F"/>
    <w:rsid w:val="00F52B08"/>
    <w:rsid w:val="00F531BB"/>
    <w:rsid w:val="00F54089"/>
    <w:rsid w:val="00F54CC6"/>
    <w:rsid w:val="00F54FDE"/>
    <w:rsid w:val="00F55126"/>
    <w:rsid w:val="00F55132"/>
    <w:rsid w:val="00F56515"/>
    <w:rsid w:val="00F56CFB"/>
    <w:rsid w:val="00F56E65"/>
    <w:rsid w:val="00F604F6"/>
    <w:rsid w:val="00F60945"/>
    <w:rsid w:val="00F630CA"/>
    <w:rsid w:val="00F63128"/>
    <w:rsid w:val="00F631DC"/>
    <w:rsid w:val="00F64827"/>
    <w:rsid w:val="00F70524"/>
    <w:rsid w:val="00F708C0"/>
    <w:rsid w:val="00F7361B"/>
    <w:rsid w:val="00F73D3A"/>
    <w:rsid w:val="00F73EF9"/>
    <w:rsid w:val="00F74CF2"/>
    <w:rsid w:val="00F76802"/>
    <w:rsid w:val="00F807ED"/>
    <w:rsid w:val="00F80945"/>
    <w:rsid w:val="00F829ED"/>
    <w:rsid w:val="00F857F4"/>
    <w:rsid w:val="00F90514"/>
    <w:rsid w:val="00F90CD9"/>
    <w:rsid w:val="00F91287"/>
    <w:rsid w:val="00F91C62"/>
    <w:rsid w:val="00F93693"/>
    <w:rsid w:val="00F94AE3"/>
    <w:rsid w:val="00F94FA9"/>
    <w:rsid w:val="00F964F4"/>
    <w:rsid w:val="00F96E62"/>
    <w:rsid w:val="00FA111D"/>
    <w:rsid w:val="00FA1E6E"/>
    <w:rsid w:val="00FA3B29"/>
    <w:rsid w:val="00FA4771"/>
    <w:rsid w:val="00FA4861"/>
    <w:rsid w:val="00FA531E"/>
    <w:rsid w:val="00FA5DC7"/>
    <w:rsid w:val="00FA6475"/>
    <w:rsid w:val="00FA6D58"/>
    <w:rsid w:val="00FA71F5"/>
    <w:rsid w:val="00FB0D23"/>
    <w:rsid w:val="00FB14CF"/>
    <w:rsid w:val="00FB19CF"/>
    <w:rsid w:val="00FB2DF4"/>
    <w:rsid w:val="00FB324C"/>
    <w:rsid w:val="00FB32C6"/>
    <w:rsid w:val="00FB4152"/>
    <w:rsid w:val="00FB5D78"/>
    <w:rsid w:val="00FB5E43"/>
    <w:rsid w:val="00FC1377"/>
    <w:rsid w:val="00FC165B"/>
    <w:rsid w:val="00FC2FBE"/>
    <w:rsid w:val="00FC444E"/>
    <w:rsid w:val="00FC4C42"/>
    <w:rsid w:val="00FC4F82"/>
    <w:rsid w:val="00FC5E57"/>
    <w:rsid w:val="00FC6264"/>
    <w:rsid w:val="00FD1843"/>
    <w:rsid w:val="00FD39CE"/>
    <w:rsid w:val="00FD549B"/>
    <w:rsid w:val="00FD6D24"/>
    <w:rsid w:val="00FD6EF0"/>
    <w:rsid w:val="00FD74FA"/>
    <w:rsid w:val="00FE0C4B"/>
    <w:rsid w:val="00FE12A8"/>
    <w:rsid w:val="00FE13D9"/>
    <w:rsid w:val="00FE2FD9"/>
    <w:rsid w:val="00FE4914"/>
    <w:rsid w:val="00FF1B37"/>
    <w:rsid w:val="00FF1E3B"/>
    <w:rsid w:val="00FF4DD7"/>
    <w:rsid w:val="00FF5044"/>
    <w:rsid w:val="00FF53BF"/>
    <w:rsid w:val="00FF56EB"/>
    <w:rsid w:val="00FF670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B4CD"/>
  <w15:chartTrackingRefBased/>
  <w15:docId w15:val="{5AFF757C-E5FE-4FA7-8F93-6BCBBF7C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81"/>
    <w:rPr>
      <w:rFonts w:ascii="Arial" w:hAnsi="Arial"/>
      <w:sz w:val="24"/>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8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C81"/>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outlineLvl w:val="4"/>
    </w:pPr>
    <w:rPr>
      <w:rFonts w:eastAsiaTheme="majorEastAsia" w:cstheme="majorBidi"/>
      <w:color w:val="2F5496" w:themeColor="accent1" w:themeShade="BF"/>
    </w:rPr>
  </w:style>
  <w:style w:type="paragraph" w:styleId="Heading6">
    <w:name w:val="heading 6"/>
    <w:basedOn w:val="Normal"/>
    <w:link w:val="Heading6Char"/>
    <w:uiPriority w:val="9"/>
    <w:qFormat/>
    <w:rsid w:val="00BF472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paragraph" w:styleId="ListParagraph">
    <w:name w:val="List Paragraph"/>
    <w:aliases w:val="Heading 2_sj,OBC Bullet,List Paragraph11,List Paragrap,Colorful List - Accent 12,Bullet Styl,Bullet,Numbered Para 1,Dot pt,No Spacing1,List Paragraph Char Char Char,Indicator Text,List Paragraph1,Bullet Points,MAIN CONTENT,Bullet 1,L"/>
    <w:basedOn w:val="Normal"/>
    <w:link w:val="ListParagraphChar"/>
    <w:uiPriority w:val="34"/>
    <w:qFormat/>
    <w:rsid w:val="00E24483"/>
    <w:pPr>
      <w:ind w:left="720"/>
      <w:contextualSpacing/>
    </w:pPr>
  </w:style>
  <w:style w:type="character" w:styleId="Hyperlink">
    <w:name w:val="Hyperlink"/>
    <w:basedOn w:val="DefaultParagraphFont"/>
    <w:uiPriority w:val="99"/>
    <w:unhideWhenUsed/>
    <w:rsid w:val="007C1785"/>
    <w:rPr>
      <w:color w:val="0563C1" w:themeColor="hyperlink"/>
      <w:u w:val="single"/>
    </w:rPr>
  </w:style>
  <w:style w:type="character" w:styleId="UnresolvedMention">
    <w:name w:val="Unresolved Mention"/>
    <w:basedOn w:val="DefaultParagraphFont"/>
    <w:uiPriority w:val="99"/>
    <w:semiHidden/>
    <w:unhideWhenUsed/>
    <w:rsid w:val="007C1785"/>
    <w:rPr>
      <w:color w:val="605E5C"/>
      <w:shd w:val="clear" w:color="auto" w:fill="E1DFDD"/>
    </w:rPr>
  </w:style>
  <w:style w:type="paragraph" w:styleId="BalloonText">
    <w:name w:val="Balloon Text"/>
    <w:basedOn w:val="Normal"/>
    <w:link w:val="BalloonTextChar"/>
    <w:uiPriority w:val="99"/>
    <w:semiHidden/>
    <w:unhideWhenUsed/>
    <w:rsid w:val="00C7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A6"/>
    <w:rPr>
      <w:rFonts w:ascii="Segoe UI" w:hAnsi="Segoe UI" w:cs="Segoe UI"/>
      <w:sz w:val="18"/>
      <w:szCs w:val="18"/>
    </w:rPr>
  </w:style>
  <w:style w:type="paragraph" w:styleId="Header">
    <w:name w:val="header"/>
    <w:basedOn w:val="Normal"/>
    <w:link w:val="HeaderChar"/>
    <w:uiPriority w:val="99"/>
    <w:unhideWhenUsed/>
    <w:rsid w:val="00FE2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FD9"/>
    <w:rPr>
      <w:rFonts w:ascii="Arial" w:hAnsi="Arial"/>
      <w:sz w:val="24"/>
    </w:rPr>
  </w:style>
  <w:style w:type="paragraph" w:styleId="Footer">
    <w:name w:val="footer"/>
    <w:basedOn w:val="Normal"/>
    <w:link w:val="FooterChar"/>
    <w:uiPriority w:val="99"/>
    <w:unhideWhenUsed/>
    <w:rsid w:val="00FE2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FD9"/>
    <w:rPr>
      <w:rFonts w:ascii="Arial" w:hAnsi="Arial"/>
      <w:sz w:val="24"/>
    </w:rPr>
  </w:style>
  <w:style w:type="character" w:styleId="CommentReference">
    <w:name w:val="annotation reference"/>
    <w:basedOn w:val="DefaultParagraphFont"/>
    <w:uiPriority w:val="99"/>
    <w:semiHidden/>
    <w:unhideWhenUsed/>
    <w:rsid w:val="005D5BA6"/>
    <w:rPr>
      <w:sz w:val="16"/>
      <w:szCs w:val="16"/>
    </w:rPr>
  </w:style>
  <w:style w:type="paragraph" w:styleId="CommentText">
    <w:name w:val="annotation text"/>
    <w:basedOn w:val="Normal"/>
    <w:link w:val="CommentTextChar"/>
    <w:uiPriority w:val="99"/>
    <w:unhideWhenUsed/>
    <w:rsid w:val="005D5BA6"/>
    <w:pPr>
      <w:spacing w:line="240" w:lineRule="auto"/>
    </w:pPr>
    <w:rPr>
      <w:sz w:val="20"/>
      <w:szCs w:val="20"/>
    </w:rPr>
  </w:style>
  <w:style w:type="character" w:customStyle="1" w:styleId="CommentTextChar">
    <w:name w:val="Comment Text Char"/>
    <w:basedOn w:val="DefaultParagraphFont"/>
    <w:link w:val="CommentText"/>
    <w:uiPriority w:val="99"/>
    <w:rsid w:val="005D5B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5BA6"/>
    <w:rPr>
      <w:b/>
      <w:bCs/>
    </w:rPr>
  </w:style>
  <w:style w:type="character" w:customStyle="1" w:styleId="CommentSubjectChar">
    <w:name w:val="Comment Subject Char"/>
    <w:basedOn w:val="CommentTextChar"/>
    <w:link w:val="CommentSubject"/>
    <w:uiPriority w:val="99"/>
    <w:semiHidden/>
    <w:rsid w:val="005D5BA6"/>
    <w:rPr>
      <w:rFonts w:ascii="Arial" w:hAnsi="Arial"/>
      <w:b/>
      <w:bCs/>
      <w:sz w:val="20"/>
      <w:szCs w:val="20"/>
    </w:rPr>
  </w:style>
  <w:style w:type="paragraph" w:customStyle="1" w:styleId="Default">
    <w:name w:val="Default"/>
    <w:rsid w:val="0088225A"/>
    <w:pPr>
      <w:autoSpaceDE w:val="0"/>
      <w:autoSpaceDN w:val="0"/>
      <w:adjustRightInd w:val="0"/>
      <w:spacing w:after="0" w:line="240" w:lineRule="auto"/>
    </w:pPr>
    <w:rPr>
      <w:rFonts w:ascii="Arial" w:hAnsi="Arial" w:cs="Arial"/>
      <w:color w:val="000000"/>
      <w:sz w:val="24"/>
      <w:szCs w:val="24"/>
    </w:rPr>
  </w:style>
  <w:style w:type="character" w:customStyle="1" w:styleId="cit">
    <w:name w:val="cit"/>
    <w:basedOn w:val="DefaultParagraphFont"/>
    <w:rsid w:val="000119FC"/>
  </w:style>
  <w:style w:type="character" w:customStyle="1" w:styleId="fm-vol-iss-date">
    <w:name w:val="fm-vol-iss-date"/>
    <w:basedOn w:val="DefaultParagraphFont"/>
    <w:rsid w:val="000119FC"/>
  </w:style>
  <w:style w:type="character" w:customStyle="1" w:styleId="doi">
    <w:name w:val="doi"/>
    <w:basedOn w:val="DefaultParagraphFont"/>
    <w:rsid w:val="000119FC"/>
  </w:style>
  <w:style w:type="character" w:customStyle="1" w:styleId="fm-citation-ids-label">
    <w:name w:val="fm-citation-ids-label"/>
    <w:basedOn w:val="DefaultParagraphFont"/>
    <w:rsid w:val="000119FC"/>
  </w:style>
  <w:style w:type="character" w:customStyle="1" w:styleId="frontelement">
    <w:name w:val="frontelement"/>
    <w:basedOn w:val="DefaultParagraphFont"/>
    <w:rsid w:val="00A85F0C"/>
  </w:style>
  <w:style w:type="character" w:styleId="FollowedHyperlink">
    <w:name w:val="FollowedHyperlink"/>
    <w:basedOn w:val="DefaultParagraphFont"/>
    <w:uiPriority w:val="99"/>
    <w:semiHidden/>
    <w:unhideWhenUsed/>
    <w:rsid w:val="00D0088F"/>
    <w:rPr>
      <w:color w:val="954F72" w:themeColor="followedHyperlink"/>
      <w:u w:val="single"/>
    </w:rPr>
  </w:style>
  <w:style w:type="table" w:styleId="TableGrid">
    <w:name w:val="Table Grid"/>
    <w:basedOn w:val="TableNormal"/>
    <w:uiPriority w:val="39"/>
    <w:rsid w:val="0060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F472F"/>
    <w:rPr>
      <w:rFonts w:ascii="Times New Roman" w:eastAsia="Times New Roman" w:hAnsi="Times New Roman" w:cs="Times New Roman"/>
      <w:b/>
      <w:bCs/>
      <w:sz w:val="15"/>
      <w:szCs w:val="15"/>
      <w:lang w:eastAsia="en-GB"/>
    </w:rPr>
  </w:style>
  <w:style w:type="character" w:customStyle="1" w:styleId="ListParagraphChar">
    <w:name w:val="List Paragraph Char"/>
    <w:aliases w:val="Heading 2_sj Char,OBC Bullet Char,List Paragraph11 Char,List Paragrap Char,Colorful List - Accent 12 Char,Bullet Styl Char,Bullet Char,Numbered Para 1 Char,Dot pt Char,No Spacing1 Char,List Paragraph Char Char Char Char,Bullet 1 Char"/>
    <w:basedOn w:val="DefaultParagraphFont"/>
    <w:link w:val="ListParagraph"/>
    <w:uiPriority w:val="34"/>
    <w:qFormat/>
    <w:locked/>
    <w:rsid w:val="009A51C2"/>
    <w:rPr>
      <w:rFonts w:ascii="Arial" w:hAnsi="Arial"/>
      <w:sz w:val="24"/>
    </w:rPr>
  </w:style>
  <w:style w:type="character" w:customStyle="1" w:styleId="title-text">
    <w:name w:val="title-text"/>
    <w:basedOn w:val="DefaultParagraphFont"/>
    <w:rsid w:val="00202FBB"/>
  </w:style>
  <w:style w:type="character" w:customStyle="1" w:styleId="sr-only">
    <w:name w:val="sr-only"/>
    <w:basedOn w:val="DefaultParagraphFont"/>
    <w:rsid w:val="00202FBB"/>
  </w:style>
  <w:style w:type="character" w:customStyle="1" w:styleId="text">
    <w:name w:val="text"/>
    <w:basedOn w:val="DefaultParagraphFont"/>
    <w:rsid w:val="00202FBB"/>
  </w:style>
  <w:style w:type="paragraph" w:styleId="NormalWeb">
    <w:name w:val="Normal (Web)"/>
    <w:basedOn w:val="Normal"/>
    <w:uiPriority w:val="99"/>
    <w:semiHidden/>
    <w:unhideWhenUsed/>
    <w:rsid w:val="005C735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mma">
    <w:name w:val="comma"/>
    <w:basedOn w:val="DefaultParagraphFont"/>
    <w:rsid w:val="00057904"/>
  </w:style>
  <w:style w:type="character" w:customStyle="1" w:styleId="volume-issue-pages">
    <w:name w:val="volume-issue-pages"/>
    <w:basedOn w:val="DefaultParagraphFont"/>
    <w:rsid w:val="00057904"/>
  </w:style>
  <w:style w:type="character" w:customStyle="1" w:styleId="publication-date">
    <w:name w:val="publication-date"/>
    <w:basedOn w:val="DefaultParagraphFont"/>
    <w:rsid w:val="00057904"/>
  </w:style>
  <w:style w:type="character" w:customStyle="1" w:styleId="authors-list-item">
    <w:name w:val="authors-list-item"/>
    <w:basedOn w:val="DefaultParagraphFont"/>
    <w:rsid w:val="00057904"/>
  </w:style>
  <w:style w:type="character" w:customStyle="1" w:styleId="author-sup-separator">
    <w:name w:val="author-sup-separator"/>
    <w:basedOn w:val="DefaultParagraphFont"/>
    <w:rsid w:val="00057904"/>
  </w:style>
  <w:style w:type="paragraph" w:styleId="FootnoteText">
    <w:name w:val="footnote text"/>
    <w:basedOn w:val="Normal"/>
    <w:link w:val="FootnoteTextChar"/>
    <w:uiPriority w:val="99"/>
    <w:semiHidden/>
    <w:unhideWhenUsed/>
    <w:rsid w:val="00BA1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7B9"/>
    <w:rPr>
      <w:rFonts w:ascii="Arial" w:hAnsi="Arial"/>
      <w:sz w:val="20"/>
      <w:szCs w:val="20"/>
    </w:rPr>
  </w:style>
  <w:style w:type="character" w:styleId="FootnoteReference">
    <w:name w:val="footnote reference"/>
    <w:basedOn w:val="DefaultParagraphFont"/>
    <w:uiPriority w:val="99"/>
    <w:semiHidden/>
    <w:unhideWhenUsed/>
    <w:rsid w:val="00BA17B9"/>
    <w:rPr>
      <w:vertAlign w:val="superscript"/>
    </w:rPr>
  </w:style>
  <w:style w:type="paragraph" w:styleId="HTMLPreformatted">
    <w:name w:val="HTML Preformatted"/>
    <w:basedOn w:val="Normal"/>
    <w:link w:val="HTMLPreformattedChar"/>
    <w:uiPriority w:val="99"/>
    <w:semiHidden/>
    <w:unhideWhenUsed/>
    <w:rsid w:val="00B82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20BD"/>
    <w:rPr>
      <w:rFonts w:ascii="Courier New" w:hAnsi="Courier New" w:cs="Courier New"/>
      <w:sz w:val="20"/>
      <w:szCs w:val="20"/>
      <w:lang w:eastAsia="en-GB"/>
    </w:rPr>
  </w:style>
  <w:style w:type="character" w:customStyle="1" w:styleId="period">
    <w:name w:val="period"/>
    <w:basedOn w:val="DefaultParagraphFont"/>
    <w:rsid w:val="00E95F18"/>
  </w:style>
  <w:style w:type="character" w:customStyle="1" w:styleId="citation-doi">
    <w:name w:val="citation-doi"/>
    <w:basedOn w:val="DefaultParagraphFont"/>
    <w:rsid w:val="00E95F18"/>
  </w:style>
  <w:style w:type="character" w:customStyle="1" w:styleId="secondary-date">
    <w:name w:val="secondary-date"/>
    <w:basedOn w:val="DefaultParagraphFont"/>
    <w:rsid w:val="00E95F18"/>
  </w:style>
  <w:style w:type="paragraph" w:styleId="Revision">
    <w:name w:val="Revision"/>
    <w:hidden/>
    <w:uiPriority w:val="99"/>
    <w:semiHidden/>
    <w:rsid w:val="00AF634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1985">
      <w:bodyDiv w:val="1"/>
      <w:marLeft w:val="0"/>
      <w:marRight w:val="0"/>
      <w:marTop w:val="0"/>
      <w:marBottom w:val="0"/>
      <w:divBdr>
        <w:top w:val="none" w:sz="0" w:space="0" w:color="auto"/>
        <w:left w:val="none" w:sz="0" w:space="0" w:color="auto"/>
        <w:bottom w:val="none" w:sz="0" w:space="0" w:color="auto"/>
        <w:right w:val="none" w:sz="0" w:space="0" w:color="auto"/>
      </w:divBdr>
      <w:divsChild>
        <w:div w:id="2049907955">
          <w:marLeft w:val="0"/>
          <w:marRight w:val="0"/>
          <w:marTop w:val="0"/>
          <w:marBottom w:val="166"/>
          <w:divBdr>
            <w:top w:val="none" w:sz="0" w:space="0" w:color="auto"/>
            <w:left w:val="none" w:sz="0" w:space="0" w:color="auto"/>
            <w:bottom w:val="none" w:sz="0" w:space="0" w:color="auto"/>
            <w:right w:val="none" w:sz="0" w:space="0" w:color="auto"/>
          </w:divBdr>
          <w:divsChild>
            <w:div w:id="2068141130">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21392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3892">
              <w:marLeft w:val="0"/>
              <w:marRight w:val="0"/>
              <w:marTop w:val="0"/>
              <w:marBottom w:val="0"/>
              <w:divBdr>
                <w:top w:val="none" w:sz="0" w:space="0" w:color="auto"/>
                <w:left w:val="none" w:sz="0" w:space="0" w:color="auto"/>
                <w:bottom w:val="none" w:sz="0" w:space="0" w:color="auto"/>
                <w:right w:val="none" w:sz="0" w:space="0" w:color="auto"/>
              </w:divBdr>
              <w:divsChild>
                <w:div w:id="1136145175">
                  <w:marLeft w:val="0"/>
                  <w:marRight w:val="0"/>
                  <w:marTop w:val="0"/>
                  <w:marBottom w:val="0"/>
                  <w:divBdr>
                    <w:top w:val="none" w:sz="0" w:space="0" w:color="auto"/>
                    <w:left w:val="none" w:sz="0" w:space="0" w:color="auto"/>
                    <w:bottom w:val="none" w:sz="0" w:space="0" w:color="auto"/>
                    <w:right w:val="none" w:sz="0" w:space="0" w:color="auto"/>
                  </w:divBdr>
                </w:div>
                <w:div w:id="1795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713">
          <w:marLeft w:val="0"/>
          <w:marRight w:val="0"/>
          <w:marTop w:val="166"/>
          <w:marBottom w:val="166"/>
          <w:divBdr>
            <w:top w:val="none" w:sz="0" w:space="0" w:color="auto"/>
            <w:left w:val="none" w:sz="0" w:space="0" w:color="auto"/>
            <w:bottom w:val="none" w:sz="0" w:space="0" w:color="auto"/>
            <w:right w:val="none" w:sz="0" w:space="0" w:color="auto"/>
          </w:divBdr>
          <w:divsChild>
            <w:div w:id="592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5742">
      <w:bodyDiv w:val="1"/>
      <w:marLeft w:val="0"/>
      <w:marRight w:val="0"/>
      <w:marTop w:val="0"/>
      <w:marBottom w:val="0"/>
      <w:divBdr>
        <w:top w:val="none" w:sz="0" w:space="0" w:color="auto"/>
        <w:left w:val="none" w:sz="0" w:space="0" w:color="auto"/>
        <w:bottom w:val="none" w:sz="0" w:space="0" w:color="auto"/>
        <w:right w:val="none" w:sz="0" w:space="0" w:color="auto"/>
      </w:divBdr>
    </w:div>
    <w:div w:id="361981486">
      <w:bodyDiv w:val="1"/>
      <w:marLeft w:val="0"/>
      <w:marRight w:val="0"/>
      <w:marTop w:val="0"/>
      <w:marBottom w:val="0"/>
      <w:divBdr>
        <w:top w:val="none" w:sz="0" w:space="0" w:color="auto"/>
        <w:left w:val="none" w:sz="0" w:space="0" w:color="auto"/>
        <w:bottom w:val="none" w:sz="0" w:space="0" w:color="auto"/>
        <w:right w:val="none" w:sz="0" w:space="0" w:color="auto"/>
      </w:divBdr>
    </w:div>
    <w:div w:id="385688691">
      <w:bodyDiv w:val="1"/>
      <w:marLeft w:val="0"/>
      <w:marRight w:val="0"/>
      <w:marTop w:val="0"/>
      <w:marBottom w:val="0"/>
      <w:divBdr>
        <w:top w:val="none" w:sz="0" w:space="0" w:color="auto"/>
        <w:left w:val="none" w:sz="0" w:space="0" w:color="auto"/>
        <w:bottom w:val="none" w:sz="0" w:space="0" w:color="auto"/>
        <w:right w:val="none" w:sz="0" w:space="0" w:color="auto"/>
      </w:divBdr>
      <w:divsChild>
        <w:div w:id="1995377902">
          <w:marLeft w:val="0"/>
          <w:marRight w:val="0"/>
          <w:marTop w:val="0"/>
          <w:marBottom w:val="0"/>
          <w:divBdr>
            <w:top w:val="none" w:sz="0" w:space="0" w:color="auto"/>
            <w:left w:val="none" w:sz="0" w:space="0" w:color="auto"/>
            <w:bottom w:val="none" w:sz="0" w:space="0" w:color="auto"/>
            <w:right w:val="none" w:sz="0" w:space="0" w:color="auto"/>
          </w:divBdr>
          <w:divsChild>
            <w:div w:id="16005734">
              <w:marLeft w:val="0"/>
              <w:marRight w:val="0"/>
              <w:marTop w:val="0"/>
              <w:marBottom w:val="120"/>
              <w:divBdr>
                <w:top w:val="none" w:sz="0" w:space="0" w:color="auto"/>
                <w:left w:val="none" w:sz="0" w:space="0" w:color="auto"/>
                <w:bottom w:val="none" w:sz="0" w:space="0" w:color="auto"/>
                <w:right w:val="none" w:sz="0" w:space="0" w:color="auto"/>
              </w:divBdr>
              <w:divsChild>
                <w:div w:id="12683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47790">
      <w:bodyDiv w:val="1"/>
      <w:marLeft w:val="0"/>
      <w:marRight w:val="0"/>
      <w:marTop w:val="0"/>
      <w:marBottom w:val="0"/>
      <w:divBdr>
        <w:top w:val="none" w:sz="0" w:space="0" w:color="auto"/>
        <w:left w:val="none" w:sz="0" w:space="0" w:color="auto"/>
        <w:bottom w:val="none" w:sz="0" w:space="0" w:color="auto"/>
        <w:right w:val="none" w:sz="0" w:space="0" w:color="auto"/>
      </w:divBdr>
    </w:div>
    <w:div w:id="618267456">
      <w:bodyDiv w:val="1"/>
      <w:marLeft w:val="0"/>
      <w:marRight w:val="0"/>
      <w:marTop w:val="0"/>
      <w:marBottom w:val="0"/>
      <w:divBdr>
        <w:top w:val="none" w:sz="0" w:space="0" w:color="auto"/>
        <w:left w:val="none" w:sz="0" w:space="0" w:color="auto"/>
        <w:bottom w:val="none" w:sz="0" w:space="0" w:color="auto"/>
        <w:right w:val="none" w:sz="0" w:space="0" w:color="auto"/>
      </w:divBdr>
      <w:divsChild>
        <w:div w:id="1301691717">
          <w:marLeft w:val="0"/>
          <w:marRight w:val="0"/>
          <w:marTop w:val="0"/>
          <w:marBottom w:val="0"/>
          <w:divBdr>
            <w:top w:val="none" w:sz="0" w:space="0" w:color="auto"/>
            <w:left w:val="none" w:sz="0" w:space="0" w:color="auto"/>
            <w:bottom w:val="none" w:sz="0" w:space="0" w:color="auto"/>
            <w:right w:val="none" w:sz="0" w:space="0" w:color="auto"/>
          </w:divBdr>
        </w:div>
      </w:divsChild>
    </w:div>
    <w:div w:id="773477870">
      <w:bodyDiv w:val="1"/>
      <w:marLeft w:val="0"/>
      <w:marRight w:val="0"/>
      <w:marTop w:val="0"/>
      <w:marBottom w:val="0"/>
      <w:divBdr>
        <w:top w:val="none" w:sz="0" w:space="0" w:color="auto"/>
        <w:left w:val="none" w:sz="0" w:space="0" w:color="auto"/>
        <w:bottom w:val="none" w:sz="0" w:space="0" w:color="auto"/>
        <w:right w:val="none" w:sz="0" w:space="0" w:color="auto"/>
      </w:divBdr>
      <w:divsChild>
        <w:div w:id="1218277502">
          <w:marLeft w:val="0"/>
          <w:marRight w:val="0"/>
          <w:marTop w:val="166"/>
          <w:marBottom w:val="166"/>
          <w:divBdr>
            <w:top w:val="none" w:sz="0" w:space="0" w:color="auto"/>
            <w:left w:val="none" w:sz="0" w:space="0" w:color="auto"/>
            <w:bottom w:val="none" w:sz="0" w:space="0" w:color="auto"/>
            <w:right w:val="none" w:sz="0" w:space="0" w:color="auto"/>
          </w:divBdr>
          <w:divsChild>
            <w:div w:id="642852131">
              <w:marLeft w:val="0"/>
              <w:marRight w:val="0"/>
              <w:marTop w:val="0"/>
              <w:marBottom w:val="0"/>
              <w:divBdr>
                <w:top w:val="none" w:sz="0" w:space="0" w:color="auto"/>
                <w:left w:val="none" w:sz="0" w:space="0" w:color="auto"/>
                <w:bottom w:val="none" w:sz="0" w:space="0" w:color="auto"/>
                <w:right w:val="none" w:sz="0" w:space="0" w:color="auto"/>
              </w:divBdr>
            </w:div>
          </w:divsChild>
        </w:div>
        <w:div w:id="1670255682">
          <w:marLeft w:val="0"/>
          <w:marRight w:val="0"/>
          <w:marTop w:val="0"/>
          <w:marBottom w:val="166"/>
          <w:divBdr>
            <w:top w:val="none" w:sz="0" w:space="0" w:color="auto"/>
            <w:left w:val="none" w:sz="0" w:space="0" w:color="auto"/>
            <w:bottom w:val="none" w:sz="0" w:space="0" w:color="auto"/>
            <w:right w:val="none" w:sz="0" w:space="0" w:color="auto"/>
          </w:divBdr>
          <w:divsChild>
            <w:div w:id="740516858">
              <w:marLeft w:val="0"/>
              <w:marRight w:val="0"/>
              <w:marTop w:val="0"/>
              <w:marBottom w:val="0"/>
              <w:divBdr>
                <w:top w:val="none" w:sz="0" w:space="0" w:color="auto"/>
                <w:left w:val="none" w:sz="0" w:space="0" w:color="auto"/>
                <w:bottom w:val="none" w:sz="0" w:space="0" w:color="auto"/>
                <w:right w:val="none" w:sz="0" w:space="0" w:color="auto"/>
              </w:divBdr>
              <w:divsChild>
                <w:div w:id="1680737231">
                  <w:marLeft w:val="0"/>
                  <w:marRight w:val="0"/>
                  <w:marTop w:val="0"/>
                  <w:marBottom w:val="0"/>
                  <w:divBdr>
                    <w:top w:val="none" w:sz="0" w:space="0" w:color="auto"/>
                    <w:left w:val="none" w:sz="0" w:space="0" w:color="auto"/>
                    <w:bottom w:val="none" w:sz="0" w:space="0" w:color="auto"/>
                    <w:right w:val="none" w:sz="0" w:space="0" w:color="auto"/>
                  </w:divBdr>
                  <w:divsChild>
                    <w:div w:id="65807719">
                      <w:marLeft w:val="0"/>
                      <w:marRight w:val="0"/>
                      <w:marTop w:val="0"/>
                      <w:marBottom w:val="0"/>
                      <w:divBdr>
                        <w:top w:val="none" w:sz="0" w:space="0" w:color="auto"/>
                        <w:left w:val="none" w:sz="0" w:space="0" w:color="auto"/>
                        <w:bottom w:val="none" w:sz="0" w:space="0" w:color="auto"/>
                        <w:right w:val="none" w:sz="0" w:space="0" w:color="auto"/>
                      </w:divBdr>
                    </w:div>
                    <w:div w:id="4128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6886">
              <w:marLeft w:val="0"/>
              <w:marRight w:val="0"/>
              <w:marTop w:val="0"/>
              <w:marBottom w:val="0"/>
              <w:divBdr>
                <w:top w:val="none" w:sz="0" w:space="0" w:color="auto"/>
                <w:left w:val="none" w:sz="0" w:space="0" w:color="auto"/>
                <w:bottom w:val="none" w:sz="0" w:space="0" w:color="auto"/>
                <w:right w:val="none" w:sz="0" w:space="0" w:color="auto"/>
              </w:divBdr>
              <w:divsChild>
                <w:div w:id="165945545">
                  <w:marLeft w:val="0"/>
                  <w:marRight w:val="0"/>
                  <w:marTop w:val="0"/>
                  <w:marBottom w:val="0"/>
                  <w:divBdr>
                    <w:top w:val="none" w:sz="0" w:space="0" w:color="auto"/>
                    <w:left w:val="none" w:sz="0" w:space="0" w:color="auto"/>
                    <w:bottom w:val="none" w:sz="0" w:space="0" w:color="auto"/>
                    <w:right w:val="none" w:sz="0" w:space="0" w:color="auto"/>
                  </w:divBdr>
                </w:div>
                <w:div w:id="1843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965">
      <w:bodyDiv w:val="1"/>
      <w:marLeft w:val="0"/>
      <w:marRight w:val="0"/>
      <w:marTop w:val="0"/>
      <w:marBottom w:val="0"/>
      <w:divBdr>
        <w:top w:val="none" w:sz="0" w:space="0" w:color="auto"/>
        <w:left w:val="none" w:sz="0" w:space="0" w:color="auto"/>
        <w:bottom w:val="none" w:sz="0" w:space="0" w:color="auto"/>
        <w:right w:val="none" w:sz="0" w:space="0" w:color="auto"/>
      </w:divBdr>
    </w:div>
    <w:div w:id="872764838">
      <w:bodyDiv w:val="1"/>
      <w:marLeft w:val="0"/>
      <w:marRight w:val="0"/>
      <w:marTop w:val="0"/>
      <w:marBottom w:val="0"/>
      <w:divBdr>
        <w:top w:val="none" w:sz="0" w:space="0" w:color="auto"/>
        <w:left w:val="none" w:sz="0" w:space="0" w:color="auto"/>
        <w:bottom w:val="none" w:sz="0" w:space="0" w:color="auto"/>
        <w:right w:val="none" w:sz="0" w:space="0" w:color="auto"/>
      </w:divBdr>
      <w:divsChild>
        <w:div w:id="1065882840">
          <w:marLeft w:val="0"/>
          <w:marRight w:val="0"/>
          <w:marTop w:val="0"/>
          <w:marBottom w:val="0"/>
          <w:divBdr>
            <w:top w:val="none" w:sz="0" w:space="0" w:color="auto"/>
            <w:left w:val="none" w:sz="0" w:space="0" w:color="auto"/>
            <w:bottom w:val="none" w:sz="0" w:space="0" w:color="auto"/>
            <w:right w:val="none" w:sz="0" w:space="0" w:color="auto"/>
          </w:divBdr>
          <w:divsChild>
            <w:div w:id="1080443683">
              <w:marLeft w:val="0"/>
              <w:marRight w:val="0"/>
              <w:marTop w:val="0"/>
              <w:marBottom w:val="120"/>
              <w:divBdr>
                <w:top w:val="none" w:sz="0" w:space="0" w:color="auto"/>
                <w:left w:val="none" w:sz="0" w:space="0" w:color="auto"/>
                <w:bottom w:val="none" w:sz="0" w:space="0" w:color="auto"/>
                <w:right w:val="none" w:sz="0" w:space="0" w:color="auto"/>
              </w:divBdr>
            </w:div>
          </w:divsChild>
        </w:div>
        <w:div w:id="596837307">
          <w:marLeft w:val="0"/>
          <w:marRight w:val="0"/>
          <w:marTop w:val="0"/>
          <w:marBottom w:val="0"/>
          <w:divBdr>
            <w:top w:val="none" w:sz="0" w:space="0" w:color="auto"/>
            <w:left w:val="none" w:sz="0" w:space="0" w:color="auto"/>
            <w:bottom w:val="none" w:sz="0" w:space="0" w:color="auto"/>
            <w:right w:val="none" w:sz="0" w:space="0" w:color="auto"/>
          </w:divBdr>
        </w:div>
      </w:divsChild>
    </w:div>
    <w:div w:id="1016619712">
      <w:bodyDiv w:val="1"/>
      <w:marLeft w:val="0"/>
      <w:marRight w:val="0"/>
      <w:marTop w:val="0"/>
      <w:marBottom w:val="0"/>
      <w:divBdr>
        <w:top w:val="none" w:sz="0" w:space="0" w:color="auto"/>
        <w:left w:val="none" w:sz="0" w:space="0" w:color="auto"/>
        <w:bottom w:val="none" w:sz="0" w:space="0" w:color="auto"/>
        <w:right w:val="none" w:sz="0" w:space="0" w:color="auto"/>
      </w:divBdr>
    </w:div>
    <w:div w:id="1027683752">
      <w:bodyDiv w:val="1"/>
      <w:marLeft w:val="0"/>
      <w:marRight w:val="0"/>
      <w:marTop w:val="0"/>
      <w:marBottom w:val="0"/>
      <w:divBdr>
        <w:top w:val="none" w:sz="0" w:space="0" w:color="auto"/>
        <w:left w:val="none" w:sz="0" w:space="0" w:color="auto"/>
        <w:bottom w:val="none" w:sz="0" w:space="0" w:color="auto"/>
        <w:right w:val="none" w:sz="0" w:space="0" w:color="auto"/>
      </w:divBdr>
      <w:divsChild>
        <w:div w:id="1370645633">
          <w:marLeft w:val="0"/>
          <w:marRight w:val="0"/>
          <w:marTop w:val="0"/>
          <w:marBottom w:val="166"/>
          <w:divBdr>
            <w:top w:val="none" w:sz="0" w:space="0" w:color="auto"/>
            <w:left w:val="none" w:sz="0" w:space="0" w:color="auto"/>
            <w:bottom w:val="none" w:sz="0" w:space="0" w:color="auto"/>
            <w:right w:val="none" w:sz="0" w:space="0" w:color="auto"/>
          </w:divBdr>
          <w:divsChild>
            <w:div w:id="1316186592">
              <w:marLeft w:val="0"/>
              <w:marRight w:val="0"/>
              <w:marTop w:val="0"/>
              <w:marBottom w:val="0"/>
              <w:divBdr>
                <w:top w:val="none" w:sz="0" w:space="0" w:color="auto"/>
                <w:left w:val="none" w:sz="0" w:space="0" w:color="auto"/>
                <w:bottom w:val="none" w:sz="0" w:space="0" w:color="auto"/>
                <w:right w:val="none" w:sz="0" w:space="0" w:color="auto"/>
              </w:divBdr>
              <w:divsChild>
                <w:div w:id="1198129824">
                  <w:marLeft w:val="0"/>
                  <w:marRight w:val="0"/>
                  <w:marTop w:val="0"/>
                  <w:marBottom w:val="0"/>
                  <w:divBdr>
                    <w:top w:val="none" w:sz="0" w:space="0" w:color="auto"/>
                    <w:left w:val="none" w:sz="0" w:space="0" w:color="auto"/>
                    <w:bottom w:val="none" w:sz="0" w:space="0" w:color="auto"/>
                    <w:right w:val="none" w:sz="0" w:space="0" w:color="auto"/>
                  </w:divBdr>
                </w:div>
                <w:div w:id="1297906475">
                  <w:marLeft w:val="0"/>
                  <w:marRight w:val="0"/>
                  <w:marTop w:val="0"/>
                  <w:marBottom w:val="0"/>
                  <w:divBdr>
                    <w:top w:val="none" w:sz="0" w:space="0" w:color="auto"/>
                    <w:left w:val="none" w:sz="0" w:space="0" w:color="auto"/>
                    <w:bottom w:val="none" w:sz="0" w:space="0" w:color="auto"/>
                    <w:right w:val="none" w:sz="0" w:space="0" w:color="auto"/>
                  </w:divBdr>
                </w:div>
              </w:divsChild>
            </w:div>
            <w:div w:id="1731152282">
              <w:marLeft w:val="0"/>
              <w:marRight w:val="0"/>
              <w:marTop w:val="0"/>
              <w:marBottom w:val="0"/>
              <w:divBdr>
                <w:top w:val="none" w:sz="0" w:space="0" w:color="auto"/>
                <w:left w:val="none" w:sz="0" w:space="0" w:color="auto"/>
                <w:bottom w:val="none" w:sz="0" w:space="0" w:color="auto"/>
                <w:right w:val="none" w:sz="0" w:space="0" w:color="auto"/>
              </w:divBdr>
              <w:divsChild>
                <w:div w:id="1716585098">
                  <w:marLeft w:val="0"/>
                  <w:marRight w:val="0"/>
                  <w:marTop w:val="0"/>
                  <w:marBottom w:val="0"/>
                  <w:divBdr>
                    <w:top w:val="none" w:sz="0" w:space="0" w:color="auto"/>
                    <w:left w:val="none" w:sz="0" w:space="0" w:color="auto"/>
                    <w:bottom w:val="none" w:sz="0" w:space="0" w:color="auto"/>
                    <w:right w:val="none" w:sz="0" w:space="0" w:color="auto"/>
                  </w:divBdr>
                  <w:divsChild>
                    <w:div w:id="92091368">
                      <w:marLeft w:val="0"/>
                      <w:marRight w:val="0"/>
                      <w:marTop w:val="0"/>
                      <w:marBottom w:val="0"/>
                      <w:divBdr>
                        <w:top w:val="none" w:sz="0" w:space="0" w:color="auto"/>
                        <w:left w:val="none" w:sz="0" w:space="0" w:color="auto"/>
                        <w:bottom w:val="none" w:sz="0" w:space="0" w:color="auto"/>
                        <w:right w:val="none" w:sz="0" w:space="0" w:color="auto"/>
                      </w:divBdr>
                    </w:div>
                    <w:div w:id="1354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0930">
          <w:marLeft w:val="0"/>
          <w:marRight w:val="0"/>
          <w:marTop w:val="166"/>
          <w:marBottom w:val="166"/>
          <w:divBdr>
            <w:top w:val="none" w:sz="0" w:space="0" w:color="auto"/>
            <w:left w:val="none" w:sz="0" w:space="0" w:color="auto"/>
            <w:bottom w:val="none" w:sz="0" w:space="0" w:color="auto"/>
            <w:right w:val="none" w:sz="0" w:space="0" w:color="auto"/>
          </w:divBdr>
          <w:divsChild>
            <w:div w:id="14573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8052">
      <w:bodyDiv w:val="1"/>
      <w:marLeft w:val="0"/>
      <w:marRight w:val="0"/>
      <w:marTop w:val="0"/>
      <w:marBottom w:val="0"/>
      <w:divBdr>
        <w:top w:val="none" w:sz="0" w:space="0" w:color="auto"/>
        <w:left w:val="none" w:sz="0" w:space="0" w:color="auto"/>
        <w:bottom w:val="none" w:sz="0" w:space="0" w:color="auto"/>
        <w:right w:val="none" w:sz="0" w:space="0" w:color="auto"/>
      </w:divBdr>
    </w:div>
    <w:div w:id="1181313397">
      <w:bodyDiv w:val="1"/>
      <w:marLeft w:val="0"/>
      <w:marRight w:val="0"/>
      <w:marTop w:val="0"/>
      <w:marBottom w:val="0"/>
      <w:divBdr>
        <w:top w:val="none" w:sz="0" w:space="0" w:color="auto"/>
        <w:left w:val="none" w:sz="0" w:space="0" w:color="auto"/>
        <w:bottom w:val="none" w:sz="0" w:space="0" w:color="auto"/>
        <w:right w:val="none" w:sz="0" w:space="0" w:color="auto"/>
      </w:divBdr>
      <w:divsChild>
        <w:div w:id="750540543">
          <w:marLeft w:val="0"/>
          <w:marRight w:val="0"/>
          <w:marTop w:val="0"/>
          <w:marBottom w:val="120"/>
          <w:divBdr>
            <w:top w:val="none" w:sz="0" w:space="0" w:color="auto"/>
            <w:left w:val="none" w:sz="0" w:space="0" w:color="auto"/>
            <w:bottom w:val="single" w:sz="12" w:space="9" w:color="EBEBEB"/>
            <w:right w:val="none" w:sz="0" w:space="0" w:color="auto"/>
          </w:divBdr>
          <w:divsChild>
            <w:div w:id="2125074157">
              <w:marLeft w:val="0"/>
              <w:marRight w:val="0"/>
              <w:marTop w:val="100"/>
              <w:marBottom w:val="100"/>
              <w:divBdr>
                <w:top w:val="none" w:sz="0" w:space="0" w:color="auto"/>
                <w:left w:val="none" w:sz="0" w:space="0" w:color="auto"/>
                <w:bottom w:val="none" w:sz="0" w:space="0" w:color="auto"/>
                <w:right w:val="none" w:sz="0" w:space="0" w:color="auto"/>
              </w:divBdr>
              <w:divsChild>
                <w:div w:id="15956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5528">
          <w:marLeft w:val="0"/>
          <w:marRight w:val="0"/>
          <w:marTop w:val="0"/>
          <w:marBottom w:val="120"/>
          <w:divBdr>
            <w:top w:val="none" w:sz="0" w:space="0" w:color="auto"/>
            <w:left w:val="none" w:sz="0" w:space="0" w:color="auto"/>
            <w:bottom w:val="none" w:sz="0" w:space="0" w:color="auto"/>
            <w:right w:val="none" w:sz="0" w:space="0" w:color="auto"/>
          </w:divBdr>
          <w:divsChild>
            <w:div w:id="2006398052">
              <w:marLeft w:val="0"/>
              <w:marRight w:val="0"/>
              <w:marTop w:val="0"/>
              <w:marBottom w:val="0"/>
              <w:divBdr>
                <w:top w:val="none" w:sz="0" w:space="0" w:color="auto"/>
                <w:left w:val="none" w:sz="0" w:space="0" w:color="auto"/>
                <w:bottom w:val="none" w:sz="0" w:space="0" w:color="auto"/>
                <w:right w:val="none" w:sz="0" w:space="0" w:color="auto"/>
              </w:divBdr>
              <w:divsChild>
                <w:div w:id="1972784597">
                  <w:marLeft w:val="0"/>
                  <w:marRight w:val="0"/>
                  <w:marTop w:val="0"/>
                  <w:marBottom w:val="0"/>
                  <w:divBdr>
                    <w:top w:val="none" w:sz="0" w:space="0" w:color="auto"/>
                    <w:left w:val="none" w:sz="0" w:space="0" w:color="auto"/>
                    <w:bottom w:val="none" w:sz="0" w:space="0" w:color="auto"/>
                    <w:right w:val="none" w:sz="0" w:space="0" w:color="auto"/>
                  </w:divBdr>
                  <w:divsChild>
                    <w:div w:id="1169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5313">
      <w:bodyDiv w:val="1"/>
      <w:marLeft w:val="0"/>
      <w:marRight w:val="0"/>
      <w:marTop w:val="0"/>
      <w:marBottom w:val="0"/>
      <w:divBdr>
        <w:top w:val="none" w:sz="0" w:space="0" w:color="auto"/>
        <w:left w:val="none" w:sz="0" w:space="0" w:color="auto"/>
        <w:bottom w:val="none" w:sz="0" w:space="0" w:color="auto"/>
        <w:right w:val="none" w:sz="0" w:space="0" w:color="auto"/>
      </w:divBdr>
      <w:divsChild>
        <w:div w:id="1132748191">
          <w:marLeft w:val="0"/>
          <w:marRight w:val="0"/>
          <w:marTop w:val="0"/>
          <w:marBottom w:val="0"/>
          <w:divBdr>
            <w:top w:val="none" w:sz="0" w:space="0" w:color="auto"/>
            <w:left w:val="none" w:sz="0" w:space="0" w:color="auto"/>
            <w:bottom w:val="none" w:sz="0" w:space="0" w:color="auto"/>
            <w:right w:val="none" w:sz="0" w:space="0" w:color="auto"/>
          </w:divBdr>
          <w:divsChild>
            <w:div w:id="1271402068">
              <w:marLeft w:val="0"/>
              <w:marRight w:val="0"/>
              <w:marTop w:val="0"/>
              <w:marBottom w:val="120"/>
              <w:divBdr>
                <w:top w:val="none" w:sz="0" w:space="0" w:color="auto"/>
                <w:left w:val="none" w:sz="0" w:space="0" w:color="auto"/>
                <w:bottom w:val="none" w:sz="0" w:space="0" w:color="auto"/>
                <w:right w:val="none" w:sz="0" w:space="0" w:color="auto"/>
              </w:divBdr>
              <w:divsChild>
                <w:div w:id="11273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90672">
      <w:bodyDiv w:val="1"/>
      <w:marLeft w:val="0"/>
      <w:marRight w:val="0"/>
      <w:marTop w:val="0"/>
      <w:marBottom w:val="0"/>
      <w:divBdr>
        <w:top w:val="none" w:sz="0" w:space="0" w:color="auto"/>
        <w:left w:val="none" w:sz="0" w:space="0" w:color="auto"/>
        <w:bottom w:val="none" w:sz="0" w:space="0" w:color="auto"/>
        <w:right w:val="none" w:sz="0" w:space="0" w:color="auto"/>
      </w:divBdr>
      <w:divsChild>
        <w:div w:id="942810544">
          <w:marLeft w:val="0"/>
          <w:marRight w:val="0"/>
          <w:marTop w:val="0"/>
          <w:marBottom w:val="0"/>
          <w:divBdr>
            <w:top w:val="none" w:sz="0" w:space="0" w:color="auto"/>
            <w:left w:val="none" w:sz="0" w:space="0" w:color="auto"/>
            <w:bottom w:val="none" w:sz="0" w:space="0" w:color="auto"/>
            <w:right w:val="none" w:sz="0" w:space="0" w:color="auto"/>
          </w:divBdr>
          <w:divsChild>
            <w:div w:id="990912362">
              <w:marLeft w:val="0"/>
              <w:marRight w:val="0"/>
              <w:marTop w:val="0"/>
              <w:marBottom w:val="0"/>
              <w:divBdr>
                <w:top w:val="none" w:sz="0" w:space="0" w:color="auto"/>
                <w:left w:val="none" w:sz="0" w:space="0" w:color="auto"/>
                <w:bottom w:val="none" w:sz="0" w:space="0" w:color="auto"/>
                <w:right w:val="none" w:sz="0" w:space="0" w:color="auto"/>
              </w:divBdr>
              <w:divsChild>
                <w:div w:id="11249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734">
          <w:marLeft w:val="0"/>
          <w:marRight w:val="0"/>
          <w:marTop w:val="0"/>
          <w:marBottom w:val="0"/>
          <w:divBdr>
            <w:top w:val="none" w:sz="0" w:space="0" w:color="auto"/>
            <w:left w:val="none" w:sz="0" w:space="0" w:color="auto"/>
            <w:bottom w:val="none" w:sz="0" w:space="0" w:color="auto"/>
            <w:right w:val="none" w:sz="0" w:space="0" w:color="auto"/>
          </w:divBdr>
          <w:divsChild>
            <w:div w:id="901869568">
              <w:marLeft w:val="0"/>
              <w:marRight w:val="0"/>
              <w:marTop w:val="0"/>
              <w:marBottom w:val="0"/>
              <w:divBdr>
                <w:top w:val="none" w:sz="0" w:space="0" w:color="auto"/>
                <w:left w:val="none" w:sz="0" w:space="0" w:color="auto"/>
                <w:bottom w:val="none" w:sz="0" w:space="0" w:color="auto"/>
                <w:right w:val="none" w:sz="0" w:space="0" w:color="auto"/>
              </w:divBdr>
              <w:divsChild>
                <w:div w:id="1479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564">
      <w:bodyDiv w:val="1"/>
      <w:marLeft w:val="0"/>
      <w:marRight w:val="0"/>
      <w:marTop w:val="0"/>
      <w:marBottom w:val="0"/>
      <w:divBdr>
        <w:top w:val="none" w:sz="0" w:space="0" w:color="auto"/>
        <w:left w:val="none" w:sz="0" w:space="0" w:color="auto"/>
        <w:bottom w:val="none" w:sz="0" w:space="0" w:color="auto"/>
        <w:right w:val="none" w:sz="0" w:space="0" w:color="auto"/>
      </w:divBdr>
    </w:div>
    <w:div w:id="1619023244">
      <w:bodyDiv w:val="1"/>
      <w:marLeft w:val="0"/>
      <w:marRight w:val="0"/>
      <w:marTop w:val="0"/>
      <w:marBottom w:val="0"/>
      <w:divBdr>
        <w:top w:val="none" w:sz="0" w:space="0" w:color="auto"/>
        <w:left w:val="none" w:sz="0" w:space="0" w:color="auto"/>
        <w:bottom w:val="none" w:sz="0" w:space="0" w:color="auto"/>
        <w:right w:val="none" w:sz="0" w:space="0" w:color="auto"/>
      </w:divBdr>
    </w:div>
    <w:div w:id="1625578255">
      <w:bodyDiv w:val="1"/>
      <w:marLeft w:val="0"/>
      <w:marRight w:val="0"/>
      <w:marTop w:val="0"/>
      <w:marBottom w:val="0"/>
      <w:divBdr>
        <w:top w:val="none" w:sz="0" w:space="0" w:color="auto"/>
        <w:left w:val="none" w:sz="0" w:space="0" w:color="auto"/>
        <w:bottom w:val="none" w:sz="0" w:space="0" w:color="auto"/>
        <w:right w:val="none" w:sz="0" w:space="0" w:color="auto"/>
      </w:divBdr>
      <w:divsChild>
        <w:div w:id="188884371">
          <w:marLeft w:val="0"/>
          <w:marRight w:val="0"/>
          <w:marTop w:val="0"/>
          <w:marBottom w:val="0"/>
          <w:divBdr>
            <w:top w:val="none" w:sz="0" w:space="0" w:color="auto"/>
            <w:left w:val="none" w:sz="0" w:space="0" w:color="auto"/>
            <w:bottom w:val="none" w:sz="0" w:space="0" w:color="auto"/>
            <w:right w:val="none" w:sz="0" w:space="0" w:color="auto"/>
          </w:divBdr>
          <w:divsChild>
            <w:div w:id="1570730165">
              <w:marLeft w:val="0"/>
              <w:marRight w:val="0"/>
              <w:marTop w:val="0"/>
              <w:marBottom w:val="0"/>
              <w:divBdr>
                <w:top w:val="none" w:sz="0" w:space="0" w:color="auto"/>
                <w:left w:val="none" w:sz="0" w:space="0" w:color="auto"/>
                <w:bottom w:val="none" w:sz="0" w:space="0" w:color="auto"/>
                <w:right w:val="none" w:sz="0" w:space="0" w:color="auto"/>
              </w:divBdr>
              <w:divsChild>
                <w:div w:id="948858633">
                  <w:marLeft w:val="0"/>
                  <w:marRight w:val="0"/>
                  <w:marTop w:val="0"/>
                  <w:marBottom w:val="0"/>
                  <w:divBdr>
                    <w:top w:val="none" w:sz="0" w:space="0" w:color="auto"/>
                    <w:left w:val="none" w:sz="0" w:space="0" w:color="auto"/>
                    <w:bottom w:val="none" w:sz="0" w:space="0" w:color="auto"/>
                    <w:right w:val="none" w:sz="0" w:space="0" w:color="auto"/>
                  </w:divBdr>
                  <w:divsChild>
                    <w:div w:id="12366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5892">
          <w:marLeft w:val="0"/>
          <w:marRight w:val="0"/>
          <w:marTop w:val="0"/>
          <w:marBottom w:val="0"/>
          <w:divBdr>
            <w:top w:val="none" w:sz="0" w:space="0" w:color="auto"/>
            <w:left w:val="none" w:sz="0" w:space="0" w:color="auto"/>
            <w:bottom w:val="none" w:sz="0" w:space="0" w:color="auto"/>
            <w:right w:val="none" w:sz="0" w:space="0" w:color="auto"/>
          </w:divBdr>
          <w:divsChild>
            <w:div w:id="2068263387">
              <w:marLeft w:val="0"/>
              <w:marRight w:val="0"/>
              <w:marTop w:val="0"/>
              <w:marBottom w:val="0"/>
              <w:divBdr>
                <w:top w:val="none" w:sz="0" w:space="0" w:color="auto"/>
                <w:left w:val="none" w:sz="0" w:space="0" w:color="auto"/>
                <w:bottom w:val="none" w:sz="0" w:space="0" w:color="auto"/>
                <w:right w:val="none" w:sz="0" w:space="0" w:color="auto"/>
              </w:divBdr>
              <w:divsChild>
                <w:div w:id="2556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9785">
      <w:bodyDiv w:val="1"/>
      <w:marLeft w:val="0"/>
      <w:marRight w:val="0"/>
      <w:marTop w:val="0"/>
      <w:marBottom w:val="0"/>
      <w:divBdr>
        <w:top w:val="none" w:sz="0" w:space="0" w:color="auto"/>
        <w:left w:val="none" w:sz="0" w:space="0" w:color="auto"/>
        <w:bottom w:val="none" w:sz="0" w:space="0" w:color="auto"/>
        <w:right w:val="none" w:sz="0" w:space="0" w:color="auto"/>
      </w:divBdr>
      <w:divsChild>
        <w:div w:id="1231112770">
          <w:marLeft w:val="0"/>
          <w:marRight w:val="0"/>
          <w:marTop w:val="0"/>
          <w:marBottom w:val="0"/>
          <w:divBdr>
            <w:top w:val="none" w:sz="0" w:space="0" w:color="auto"/>
            <w:left w:val="none" w:sz="0" w:space="0" w:color="auto"/>
            <w:bottom w:val="none" w:sz="0" w:space="0" w:color="auto"/>
            <w:right w:val="none" w:sz="0" w:space="0" w:color="auto"/>
          </w:divBdr>
          <w:divsChild>
            <w:div w:id="579288774">
              <w:marLeft w:val="0"/>
              <w:marRight w:val="0"/>
              <w:marTop w:val="0"/>
              <w:marBottom w:val="0"/>
              <w:divBdr>
                <w:top w:val="none" w:sz="0" w:space="0" w:color="auto"/>
                <w:left w:val="none" w:sz="0" w:space="0" w:color="auto"/>
                <w:bottom w:val="none" w:sz="0" w:space="0" w:color="auto"/>
                <w:right w:val="none" w:sz="0" w:space="0" w:color="auto"/>
              </w:divBdr>
              <w:divsChild>
                <w:div w:id="1961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041">
          <w:marLeft w:val="0"/>
          <w:marRight w:val="0"/>
          <w:marTop w:val="0"/>
          <w:marBottom w:val="0"/>
          <w:divBdr>
            <w:top w:val="none" w:sz="0" w:space="0" w:color="auto"/>
            <w:left w:val="none" w:sz="0" w:space="0" w:color="auto"/>
            <w:bottom w:val="none" w:sz="0" w:space="0" w:color="auto"/>
            <w:right w:val="none" w:sz="0" w:space="0" w:color="auto"/>
          </w:divBdr>
          <w:divsChild>
            <w:div w:id="1968930514">
              <w:marLeft w:val="0"/>
              <w:marRight w:val="0"/>
              <w:marTop w:val="0"/>
              <w:marBottom w:val="0"/>
              <w:divBdr>
                <w:top w:val="none" w:sz="0" w:space="0" w:color="auto"/>
                <w:left w:val="none" w:sz="0" w:space="0" w:color="auto"/>
                <w:bottom w:val="none" w:sz="0" w:space="0" w:color="auto"/>
                <w:right w:val="none" w:sz="0" w:space="0" w:color="auto"/>
              </w:divBdr>
              <w:divsChild>
                <w:div w:id="1738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6008">
      <w:bodyDiv w:val="1"/>
      <w:marLeft w:val="0"/>
      <w:marRight w:val="0"/>
      <w:marTop w:val="0"/>
      <w:marBottom w:val="0"/>
      <w:divBdr>
        <w:top w:val="none" w:sz="0" w:space="0" w:color="auto"/>
        <w:left w:val="none" w:sz="0" w:space="0" w:color="auto"/>
        <w:bottom w:val="none" w:sz="0" w:space="0" w:color="auto"/>
        <w:right w:val="none" w:sz="0" w:space="0" w:color="auto"/>
      </w:divBdr>
      <w:divsChild>
        <w:div w:id="1180585282">
          <w:marLeft w:val="0"/>
          <w:marRight w:val="0"/>
          <w:marTop w:val="0"/>
          <w:marBottom w:val="120"/>
          <w:divBdr>
            <w:top w:val="none" w:sz="0" w:space="0" w:color="auto"/>
            <w:left w:val="none" w:sz="0" w:space="0" w:color="auto"/>
            <w:bottom w:val="none" w:sz="0" w:space="0" w:color="auto"/>
            <w:right w:val="none" w:sz="0" w:space="0" w:color="auto"/>
          </w:divBdr>
          <w:divsChild>
            <w:div w:id="906183273">
              <w:marLeft w:val="0"/>
              <w:marRight w:val="0"/>
              <w:marTop w:val="0"/>
              <w:marBottom w:val="0"/>
              <w:divBdr>
                <w:top w:val="none" w:sz="0" w:space="0" w:color="auto"/>
                <w:left w:val="none" w:sz="0" w:space="0" w:color="auto"/>
                <w:bottom w:val="none" w:sz="0" w:space="0" w:color="auto"/>
                <w:right w:val="none" w:sz="0" w:space="0" w:color="auto"/>
              </w:divBdr>
              <w:divsChild>
                <w:div w:id="2067562123">
                  <w:marLeft w:val="0"/>
                  <w:marRight w:val="0"/>
                  <w:marTop w:val="0"/>
                  <w:marBottom w:val="0"/>
                  <w:divBdr>
                    <w:top w:val="none" w:sz="0" w:space="0" w:color="auto"/>
                    <w:left w:val="none" w:sz="0" w:space="0" w:color="auto"/>
                    <w:bottom w:val="none" w:sz="0" w:space="0" w:color="auto"/>
                    <w:right w:val="none" w:sz="0" w:space="0" w:color="auto"/>
                  </w:divBdr>
                  <w:divsChild>
                    <w:div w:id="9544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38982">
          <w:marLeft w:val="0"/>
          <w:marRight w:val="0"/>
          <w:marTop w:val="0"/>
          <w:marBottom w:val="120"/>
          <w:divBdr>
            <w:top w:val="none" w:sz="0" w:space="0" w:color="auto"/>
            <w:left w:val="none" w:sz="0" w:space="0" w:color="auto"/>
            <w:bottom w:val="single" w:sz="12" w:space="9" w:color="EBEBEB"/>
            <w:right w:val="none" w:sz="0" w:space="0" w:color="auto"/>
          </w:divBdr>
          <w:divsChild>
            <w:div w:id="1677070059">
              <w:marLeft w:val="0"/>
              <w:marRight w:val="0"/>
              <w:marTop w:val="100"/>
              <w:marBottom w:val="100"/>
              <w:divBdr>
                <w:top w:val="none" w:sz="0" w:space="0" w:color="auto"/>
                <w:left w:val="none" w:sz="0" w:space="0" w:color="auto"/>
                <w:bottom w:val="none" w:sz="0" w:space="0" w:color="auto"/>
                <w:right w:val="none" w:sz="0" w:space="0" w:color="auto"/>
              </w:divBdr>
              <w:divsChild>
                <w:div w:id="8817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787">
      <w:bodyDiv w:val="1"/>
      <w:marLeft w:val="0"/>
      <w:marRight w:val="0"/>
      <w:marTop w:val="0"/>
      <w:marBottom w:val="0"/>
      <w:divBdr>
        <w:top w:val="none" w:sz="0" w:space="0" w:color="auto"/>
        <w:left w:val="none" w:sz="0" w:space="0" w:color="auto"/>
        <w:bottom w:val="none" w:sz="0" w:space="0" w:color="auto"/>
        <w:right w:val="none" w:sz="0" w:space="0" w:color="auto"/>
      </w:divBdr>
    </w:div>
    <w:div w:id="1839803473">
      <w:bodyDiv w:val="1"/>
      <w:marLeft w:val="0"/>
      <w:marRight w:val="0"/>
      <w:marTop w:val="0"/>
      <w:marBottom w:val="0"/>
      <w:divBdr>
        <w:top w:val="none" w:sz="0" w:space="0" w:color="auto"/>
        <w:left w:val="none" w:sz="0" w:space="0" w:color="auto"/>
        <w:bottom w:val="none" w:sz="0" w:space="0" w:color="auto"/>
        <w:right w:val="none" w:sz="0" w:space="0" w:color="auto"/>
      </w:divBdr>
    </w:div>
    <w:div w:id="1944418252">
      <w:bodyDiv w:val="1"/>
      <w:marLeft w:val="0"/>
      <w:marRight w:val="0"/>
      <w:marTop w:val="0"/>
      <w:marBottom w:val="0"/>
      <w:divBdr>
        <w:top w:val="none" w:sz="0" w:space="0" w:color="auto"/>
        <w:left w:val="none" w:sz="0" w:space="0" w:color="auto"/>
        <w:bottom w:val="none" w:sz="0" w:space="0" w:color="auto"/>
        <w:right w:val="none" w:sz="0" w:space="0" w:color="auto"/>
      </w:divBdr>
      <w:divsChild>
        <w:div w:id="846751547">
          <w:marLeft w:val="0"/>
          <w:marRight w:val="0"/>
          <w:marTop w:val="0"/>
          <w:marBottom w:val="0"/>
          <w:divBdr>
            <w:top w:val="none" w:sz="0" w:space="0" w:color="auto"/>
            <w:left w:val="none" w:sz="0" w:space="0" w:color="auto"/>
            <w:bottom w:val="none" w:sz="0" w:space="0" w:color="auto"/>
            <w:right w:val="none" w:sz="0" w:space="0" w:color="auto"/>
          </w:divBdr>
          <w:divsChild>
            <w:div w:id="1803423236">
              <w:marLeft w:val="0"/>
              <w:marRight w:val="0"/>
              <w:marTop w:val="0"/>
              <w:marBottom w:val="0"/>
              <w:divBdr>
                <w:top w:val="none" w:sz="0" w:space="0" w:color="auto"/>
                <w:left w:val="none" w:sz="0" w:space="0" w:color="auto"/>
                <w:bottom w:val="none" w:sz="0" w:space="0" w:color="auto"/>
                <w:right w:val="none" w:sz="0" w:space="0" w:color="auto"/>
              </w:divBdr>
              <w:divsChild>
                <w:div w:id="263538816">
                  <w:marLeft w:val="0"/>
                  <w:marRight w:val="0"/>
                  <w:marTop w:val="0"/>
                  <w:marBottom w:val="0"/>
                  <w:divBdr>
                    <w:top w:val="none" w:sz="0" w:space="0" w:color="auto"/>
                    <w:left w:val="none" w:sz="0" w:space="0" w:color="auto"/>
                    <w:bottom w:val="none" w:sz="0" w:space="0" w:color="auto"/>
                    <w:right w:val="none" w:sz="0" w:space="0" w:color="auto"/>
                  </w:divBdr>
                  <w:divsChild>
                    <w:div w:id="13609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2963">
          <w:marLeft w:val="0"/>
          <w:marRight w:val="0"/>
          <w:marTop w:val="0"/>
          <w:marBottom w:val="0"/>
          <w:divBdr>
            <w:top w:val="none" w:sz="0" w:space="0" w:color="auto"/>
            <w:left w:val="none" w:sz="0" w:space="0" w:color="auto"/>
            <w:bottom w:val="none" w:sz="0" w:space="0" w:color="auto"/>
            <w:right w:val="none" w:sz="0" w:space="0" w:color="auto"/>
          </w:divBdr>
          <w:divsChild>
            <w:div w:id="803960494">
              <w:marLeft w:val="0"/>
              <w:marRight w:val="0"/>
              <w:marTop w:val="0"/>
              <w:marBottom w:val="0"/>
              <w:divBdr>
                <w:top w:val="none" w:sz="0" w:space="0" w:color="auto"/>
                <w:left w:val="none" w:sz="0" w:space="0" w:color="auto"/>
                <w:bottom w:val="none" w:sz="0" w:space="0" w:color="auto"/>
                <w:right w:val="none" w:sz="0" w:space="0" w:color="auto"/>
              </w:divBdr>
              <w:divsChild>
                <w:div w:id="18425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ubmed/?term=Green%20SJ%5BAuthor%5D&amp;cauthor=true&amp;cauthor_uid=26695747" TargetMode="External"/><Relationship Id="rId18" Type="http://schemas.openxmlformats.org/officeDocument/2006/relationships/hyperlink" Target="https://www.who.int/foodsafety/chem/jecfa/Guidance_ARfD.pdf" TargetMode="External"/><Relationship Id="rId26" Type="http://schemas.openxmlformats.org/officeDocument/2006/relationships/hyperlink" Target="https://www.ncbi.nlm.nih.gov/pubmed/?term=Nieuwdorp%20M%5BAuthor%5D&amp;cauthor=true&amp;cauthor_uid=31201141" TargetMode="External"/><Relationship Id="rId3" Type="http://schemas.openxmlformats.org/officeDocument/2006/relationships/customXml" Target="../customXml/item3.xml"/><Relationship Id="rId21" Type="http://schemas.openxmlformats.org/officeDocument/2006/relationships/hyperlink" Target="https://doi.org/10.3389/fmicb.2018.00843" TargetMode="External"/><Relationship Id="rId7" Type="http://schemas.openxmlformats.org/officeDocument/2006/relationships/settings" Target="settings.xml"/><Relationship Id="rId12" Type="http://schemas.openxmlformats.org/officeDocument/2006/relationships/hyperlink" Target="https://www.ncbi.nlm.nih.gov/pubmed/?term=Engen%20PA%5BAuthor%5D&amp;cauthor=true&amp;cauthor_uid=26695747" TargetMode="External"/><Relationship Id="rId17" Type="http://schemas.openxmlformats.org/officeDocument/2006/relationships/hyperlink" Target="https://www.ncbi.nlm.nih.gov/pmc/articles/PMC4590619/" TargetMode="External"/><Relationship Id="rId25" Type="http://schemas.openxmlformats.org/officeDocument/2006/relationships/hyperlink" Target="https://www.ncbi.nlm.nih.gov/pubmed/?term=Wortelboer%20K%5BAuthor%5D&amp;cauthor=true&amp;cauthor_uid=31201141"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ncbi.nlm.nih.gov/pubmed/?term=Keshavarzian%20A%5BAuthor%5D&amp;cauthor=true&amp;cauthor_uid=26695747" TargetMode="External"/><Relationship Id="rId20" Type="http://schemas.openxmlformats.org/officeDocument/2006/relationships/hyperlink" Target="https://www.frontiersin.org/people/u/5839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371/journal.pone.0178426" TargetMode="External"/><Relationship Id="rId24" Type="http://schemas.openxmlformats.org/officeDocument/2006/relationships/hyperlink" Target="https://undark.org/2019/10/21/microbiome-scientists-debate-dysbiosi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pubmed/?term=Forsyth%20CB%5BAuthor%5D&amp;cauthor=true&amp;cauthor_uid=26695747" TargetMode="External"/><Relationship Id="rId23" Type="http://schemas.openxmlformats.org/officeDocument/2006/relationships/hyperlink" Target="https://doi.org/10.1371/journal.pone.0202460" TargetMode="External"/><Relationship Id="rId28" Type="http://schemas.openxmlformats.org/officeDocument/2006/relationships/hyperlink" Target="https://www.ncbi.nlm.nih.gov/pmc/articles/PMC6606746/" TargetMode="External"/><Relationship Id="rId10" Type="http://schemas.openxmlformats.org/officeDocument/2006/relationships/endnotes" Target="endnotes.xml"/><Relationship Id="rId19" Type="http://schemas.openxmlformats.org/officeDocument/2006/relationships/hyperlink" Target="https://apps.who.int/iris/bitstream/handle/10665/259895/9789241210171-eng.pdf;jsessionid=D2F57DBBF206C8B3EF596864AF35E376?sequence=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Voigt%20RM%5BAuthor%5D&amp;cauthor=true&amp;cauthor_uid=26695747" TargetMode="External"/><Relationship Id="rId22" Type="http://schemas.openxmlformats.org/officeDocument/2006/relationships/hyperlink" Target="http://doi.org.10.1016/j.cotox.2018.09.004" TargetMode="External"/><Relationship Id="rId27" Type="http://schemas.openxmlformats.org/officeDocument/2006/relationships/hyperlink" Target="https://www.ncbi.nlm.nih.gov/pubmed/?term=Herrema%20H%5BAuthor%5D&amp;cauthor=true&amp;cauthor_uid=3120114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7" ma:contentTypeDescription="Create a new document." ma:contentTypeScope="" ma:versionID="1d8760388fed11d68e1533b19ca128fb">
  <xsd:schema xmlns:xsd="http://www.w3.org/2001/XMLSchema" xmlns:xs="http://www.w3.org/2001/XMLSchema" xmlns:p="http://schemas.microsoft.com/office/2006/metadata/properties" xmlns:ns3="4bf62306-4d22-46b9-976f-352b27373f65" targetNamespace="http://schemas.microsoft.com/office/2006/metadata/properties" ma:root="true" ma:fieldsID="976d2e8f1f805d0c44aded2717b62719" ns3:_="">
    <xsd:import namespace="4bf62306-4d22-46b9-976f-352b27373f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8047-AA0D-47C5-BA34-B36CA70C90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B0C3C-4479-4ED1-AD40-C83674CA4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C9CF5-6BCA-43AC-B630-0D729FB9CF25}">
  <ds:schemaRefs>
    <ds:schemaRef ds:uri="http://schemas.microsoft.com/sharepoint/v3/contenttype/forms"/>
  </ds:schemaRefs>
</ds:datastoreItem>
</file>

<file path=customXml/itemProps4.xml><?xml version="1.0" encoding="utf-8"?>
<ds:datastoreItem xmlns:ds="http://schemas.openxmlformats.org/officeDocument/2006/customXml" ds:itemID="{E79EAC12-0B1C-471D-A817-A76A7BD9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27965</Words>
  <Characters>159407</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TOX-2020- 25 2nd draft Microbiota statement</vt:lpstr>
    </vt:vector>
  </TitlesOfParts>
  <Company>
  </Company>
  <LinksUpToDate>false</LinksUpToDate>
  <CharactersWithSpaces>186999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TOX-2020- 25 2nd draft Microbiota statement</dc:title>
  <dc:subject/>
  <dc:creator>Douglas Hedley</dc:creator>
  <cp:keywords/>
  <dc:description/>
  <cp:lastModifiedBy>Aisling Jao</cp:lastModifiedBy>
  <cp:revision>1</cp:revision>
  <cp:lastPrinted>2020-02-21T16:12:00Z</cp:lastPrinted>
  <dcterms:created xsi:type="dcterms:W3CDTF">2020-09-08T09:04:00Z</dcterms:created>
  <dcterms:modified xsi:type="dcterms:W3CDTF">2020-09-08T09:04:00Z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